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92D2C" w14:textId="77777777" w:rsidR="002D4260" w:rsidRPr="002D4260" w:rsidRDefault="002D4260" w:rsidP="002D4260">
      <w:pPr>
        <w:jc w:val="center"/>
        <w:rPr>
          <w:rStyle w:val="apple-converted-space"/>
          <w:b/>
          <w:sz w:val="32"/>
        </w:rPr>
      </w:pPr>
      <w:r w:rsidRPr="002D4260">
        <w:rPr>
          <w:rStyle w:val="apple-converted-space"/>
          <w:b/>
          <w:sz w:val="32"/>
        </w:rPr>
        <w:t>This is your title: Please use sentence case</w:t>
      </w:r>
    </w:p>
    <w:p w14:paraId="581692C7" w14:textId="77777777" w:rsidR="002D4260" w:rsidRDefault="002D4260" w:rsidP="002D4260">
      <w:pPr>
        <w:pStyle w:val="MKSTitleofpaper"/>
        <w:spacing w:before="0"/>
        <w:rPr>
          <w:rStyle w:val="apple-converted-space"/>
          <w:sz w:val="24"/>
          <w:szCs w:val="24"/>
        </w:rPr>
      </w:pPr>
    </w:p>
    <w:p w14:paraId="7509B30F" w14:textId="77777777" w:rsidR="002D4260" w:rsidRPr="007D1C9A" w:rsidRDefault="002D4260" w:rsidP="002D4260">
      <w:pPr>
        <w:pStyle w:val="MKSTitleofpaper"/>
        <w:spacing w:before="0"/>
        <w:rPr>
          <w:rStyle w:val="apple-converted-space"/>
          <w:rFonts w:cs="Times New Roman"/>
          <w:sz w:val="24"/>
          <w:szCs w:val="24"/>
        </w:rPr>
      </w:pPr>
      <w:r>
        <w:rPr>
          <w:rStyle w:val="apple-converted-space"/>
          <w:rFonts w:cs="Times New Roman"/>
          <w:sz w:val="24"/>
          <w:szCs w:val="24"/>
        </w:rPr>
        <w:t>Juan de la Cruz</w:t>
      </w:r>
    </w:p>
    <w:p w14:paraId="102738CB" w14:textId="77777777" w:rsidR="002D4260" w:rsidRPr="00C560F0" w:rsidRDefault="002D4260" w:rsidP="002D4260">
      <w:pPr>
        <w:pStyle w:val="MKSTitleofpaper"/>
        <w:spacing w:before="0"/>
        <w:rPr>
          <w:rStyle w:val="apple-converted-space"/>
          <w:rFonts w:cs="Times New Roman"/>
          <w:b w:val="0"/>
          <w:i/>
          <w:sz w:val="24"/>
          <w:szCs w:val="24"/>
        </w:rPr>
      </w:pPr>
      <w:r>
        <w:rPr>
          <w:rStyle w:val="apple-converted-space"/>
          <w:rFonts w:cs="Times New Roman"/>
          <w:b w:val="0"/>
          <w:i/>
          <w:sz w:val="24"/>
          <w:szCs w:val="24"/>
        </w:rPr>
        <w:t>Name of University, City</w:t>
      </w:r>
    </w:p>
    <w:p w14:paraId="4BBA7E6A" w14:textId="77777777" w:rsidR="002D4260" w:rsidRPr="006D5187" w:rsidRDefault="002D4260" w:rsidP="002D4260">
      <w:pPr>
        <w:pStyle w:val="MKSTitleofpaper"/>
        <w:spacing w:before="0"/>
        <w:rPr>
          <w:rStyle w:val="apple-converted-space"/>
          <w:rFonts w:cs="Times New Roman"/>
          <w:b w:val="0"/>
          <w:sz w:val="24"/>
          <w:szCs w:val="24"/>
        </w:rPr>
      </w:pPr>
      <w:r>
        <w:rPr>
          <w:rStyle w:val="apple-converted-space"/>
          <w:rFonts w:cs="Times New Roman"/>
          <w:b w:val="0"/>
          <w:sz w:val="24"/>
          <w:szCs w:val="24"/>
        </w:rPr>
        <w:t>email.address@sample.com</w:t>
      </w:r>
    </w:p>
    <w:p w14:paraId="4C908AF7" w14:textId="77777777" w:rsidR="002D4260" w:rsidRDefault="002D4260" w:rsidP="002D4260">
      <w:pPr>
        <w:pStyle w:val="MKSTitleofpaper"/>
        <w:spacing w:before="0"/>
        <w:rPr>
          <w:rStyle w:val="apple-converted-space"/>
          <w:rFonts w:cs="Times New Roman"/>
          <w:sz w:val="24"/>
          <w:szCs w:val="24"/>
        </w:rPr>
      </w:pPr>
    </w:p>
    <w:p w14:paraId="602FF321" w14:textId="77777777" w:rsidR="002D4260" w:rsidRPr="007D1C9A" w:rsidRDefault="002D4260" w:rsidP="002D4260">
      <w:pPr>
        <w:pStyle w:val="MKSTitleofpaper"/>
        <w:spacing w:before="0"/>
        <w:rPr>
          <w:rStyle w:val="apple-converted-space"/>
          <w:rFonts w:cs="Times New Roman"/>
          <w:sz w:val="24"/>
          <w:szCs w:val="24"/>
        </w:rPr>
      </w:pPr>
      <w:r>
        <w:rPr>
          <w:rStyle w:val="apple-converted-space"/>
          <w:rFonts w:cs="Times New Roman"/>
          <w:sz w:val="24"/>
          <w:szCs w:val="24"/>
        </w:rPr>
        <w:t>Juana de la Cruz</w:t>
      </w:r>
    </w:p>
    <w:p w14:paraId="2A8F2B2E" w14:textId="77777777" w:rsidR="002D4260" w:rsidRPr="00C560F0" w:rsidRDefault="002D4260" w:rsidP="002D4260">
      <w:pPr>
        <w:pStyle w:val="MKSTitleofpaper"/>
        <w:spacing w:before="0"/>
        <w:rPr>
          <w:rStyle w:val="apple-converted-space"/>
          <w:rFonts w:cs="Times New Roman"/>
          <w:b w:val="0"/>
          <w:i/>
          <w:sz w:val="24"/>
          <w:szCs w:val="24"/>
        </w:rPr>
      </w:pPr>
      <w:r>
        <w:rPr>
          <w:rStyle w:val="apple-converted-space"/>
          <w:rFonts w:cs="Times New Roman"/>
          <w:b w:val="0"/>
          <w:i/>
          <w:sz w:val="24"/>
          <w:szCs w:val="24"/>
        </w:rPr>
        <w:t>Name of University, City</w:t>
      </w:r>
    </w:p>
    <w:p w14:paraId="517856A8" w14:textId="77777777" w:rsidR="002D4260" w:rsidRPr="006D5187" w:rsidRDefault="002D4260" w:rsidP="002D4260">
      <w:pPr>
        <w:pStyle w:val="MKSTitleofpaper"/>
        <w:spacing w:before="0"/>
        <w:rPr>
          <w:rStyle w:val="apple-converted-space"/>
          <w:rFonts w:cs="Times New Roman"/>
          <w:b w:val="0"/>
          <w:sz w:val="24"/>
          <w:szCs w:val="24"/>
        </w:rPr>
      </w:pPr>
      <w:r>
        <w:rPr>
          <w:rStyle w:val="apple-converted-space"/>
          <w:rFonts w:cs="Times New Roman"/>
          <w:b w:val="0"/>
          <w:sz w:val="24"/>
          <w:szCs w:val="24"/>
        </w:rPr>
        <w:t>email.address@sample.com</w:t>
      </w:r>
    </w:p>
    <w:p w14:paraId="164C0BA5" w14:textId="77777777" w:rsidR="002D4260" w:rsidRDefault="002D4260" w:rsidP="009D08D8">
      <w:pPr>
        <w:pStyle w:val="Abstracttitle"/>
        <w:spacing w:before="0" w:line="240" w:lineRule="auto"/>
        <w:ind w:left="0"/>
      </w:pPr>
    </w:p>
    <w:p w14:paraId="07B0036E" w14:textId="77777777" w:rsidR="009D08D8" w:rsidRDefault="009D08D8" w:rsidP="009D08D8">
      <w:pPr>
        <w:pStyle w:val="Abstracttitle"/>
        <w:spacing w:before="0" w:line="240" w:lineRule="auto"/>
        <w:ind w:left="0"/>
      </w:pPr>
    </w:p>
    <w:p w14:paraId="7E6764B2" w14:textId="77777777" w:rsidR="002D4260" w:rsidRDefault="002D4260" w:rsidP="002D4260">
      <w:pPr>
        <w:pStyle w:val="Abstracttitle"/>
        <w:spacing w:before="0" w:line="240" w:lineRule="auto"/>
        <w:ind w:left="0"/>
        <w:jc w:val="center"/>
      </w:pPr>
      <w:r>
        <w:t>Abstract</w:t>
      </w:r>
    </w:p>
    <w:p w14:paraId="5F8F03DD" w14:textId="77777777" w:rsidR="002D4260" w:rsidRDefault="002D4260" w:rsidP="002D4260">
      <w:pPr>
        <w:pStyle w:val="Abstracttitle"/>
        <w:spacing w:before="0" w:line="240" w:lineRule="auto"/>
        <w:ind w:left="562"/>
        <w:jc w:val="center"/>
      </w:pPr>
    </w:p>
    <w:p w14:paraId="0C94113A" w14:textId="5B58A1E1" w:rsidR="002D4260" w:rsidRDefault="009D08D8" w:rsidP="002D4260">
      <w:pPr>
        <w:pStyle w:val="Body"/>
        <w:tabs>
          <w:tab w:val="left" w:pos="8820"/>
        </w:tabs>
        <w:spacing w:after="0" w:line="240" w:lineRule="auto"/>
        <w:ind w:left="562" w:right="562"/>
        <w:jc w:val="both"/>
        <w:rPr>
          <w:rStyle w:val="apple-converted-space"/>
          <w:rFonts w:ascii="Times New Roman" w:eastAsia="Times New Roman" w:hAnsi="Times New Roman" w:cs="Times New Roman"/>
          <w:sz w:val="24"/>
          <w:szCs w:val="24"/>
        </w:rPr>
      </w:pPr>
      <w:r>
        <w:rPr>
          <w:rStyle w:val="apple-converted-space"/>
          <w:rFonts w:ascii="Times New Roman" w:hAnsi="Times New Roman"/>
          <w:sz w:val="24"/>
          <w:szCs w:val="24"/>
        </w:rPr>
        <w:t xml:space="preserve">This is a sample abstract. </w:t>
      </w:r>
      <w:proofErr w:type="spellStart"/>
      <w:r w:rsidR="002D4260">
        <w:rPr>
          <w:rStyle w:val="apple-converted-space"/>
          <w:rFonts w:ascii="Times New Roman" w:hAnsi="Times New Roman"/>
          <w:sz w:val="24"/>
          <w:szCs w:val="24"/>
        </w:rPr>
        <w:t>Paranan</w:t>
      </w:r>
      <w:proofErr w:type="spellEnd"/>
      <w:r w:rsidR="002D4260">
        <w:rPr>
          <w:rStyle w:val="apple-converted-space"/>
          <w:rFonts w:ascii="Times New Roman" w:hAnsi="Times New Roman"/>
          <w:sz w:val="24"/>
          <w:szCs w:val="24"/>
        </w:rPr>
        <w:t xml:space="preserve"> belongs to the Northeastern Luzon language family and is spoken by around 16,000 people most of whom live in the coastal municipality of Palanan in Isabela Province. Despite the number of speakers, the language is one of the less documented languages in the Philippines. This paper addresses this gap by describing the structure of nominal phrases in </w:t>
      </w:r>
      <w:proofErr w:type="spellStart"/>
      <w:r w:rsidR="002D4260">
        <w:rPr>
          <w:rStyle w:val="apple-converted-space"/>
          <w:rFonts w:ascii="Times New Roman" w:hAnsi="Times New Roman"/>
          <w:sz w:val="24"/>
          <w:szCs w:val="24"/>
        </w:rPr>
        <w:t>Paranan</w:t>
      </w:r>
      <w:proofErr w:type="spellEnd"/>
      <w:r w:rsidR="002D4260">
        <w:rPr>
          <w:rStyle w:val="apple-converted-space"/>
          <w:rFonts w:ascii="Times New Roman" w:hAnsi="Times New Roman"/>
          <w:sz w:val="24"/>
          <w:szCs w:val="24"/>
        </w:rPr>
        <w:t xml:space="preserve">. Using a corpus of 113,000 words from written and spoken </w:t>
      </w:r>
      <w:proofErr w:type="spellStart"/>
      <w:r w:rsidR="002D4260">
        <w:rPr>
          <w:rStyle w:val="apple-converted-space"/>
          <w:rFonts w:ascii="Times New Roman" w:hAnsi="Times New Roman"/>
          <w:sz w:val="24"/>
          <w:szCs w:val="24"/>
        </w:rPr>
        <w:t>Paranan</w:t>
      </w:r>
      <w:proofErr w:type="spellEnd"/>
      <w:r w:rsidR="002D4260">
        <w:rPr>
          <w:rStyle w:val="apple-converted-space"/>
          <w:rFonts w:ascii="Times New Roman" w:hAnsi="Times New Roman"/>
          <w:sz w:val="24"/>
          <w:szCs w:val="24"/>
        </w:rPr>
        <w:t xml:space="preserve"> texts, the paper describes the nominal marking system and structure of nominals in </w:t>
      </w:r>
      <w:proofErr w:type="spellStart"/>
      <w:r w:rsidR="002D4260">
        <w:rPr>
          <w:rStyle w:val="apple-converted-space"/>
          <w:rFonts w:ascii="Times New Roman" w:hAnsi="Times New Roman"/>
          <w:sz w:val="24"/>
          <w:szCs w:val="24"/>
        </w:rPr>
        <w:t>Paranan</w:t>
      </w:r>
      <w:proofErr w:type="spellEnd"/>
      <w:r w:rsidR="002D4260">
        <w:rPr>
          <w:rStyle w:val="apple-converted-space"/>
          <w:rFonts w:ascii="Times New Roman" w:hAnsi="Times New Roman"/>
          <w:sz w:val="24"/>
          <w:szCs w:val="24"/>
        </w:rPr>
        <w:t xml:space="preserve">. </w:t>
      </w:r>
      <w:proofErr w:type="spellStart"/>
      <w:r w:rsidR="002D4260">
        <w:rPr>
          <w:rStyle w:val="apple-converted-space"/>
          <w:rFonts w:ascii="Times New Roman" w:hAnsi="Times New Roman"/>
          <w:sz w:val="24"/>
          <w:szCs w:val="24"/>
        </w:rPr>
        <w:t>Paranan</w:t>
      </w:r>
      <w:proofErr w:type="spellEnd"/>
      <w:r w:rsidR="002D4260">
        <w:rPr>
          <w:rStyle w:val="apple-converted-space"/>
          <w:rFonts w:ascii="Times New Roman" w:hAnsi="Times New Roman"/>
          <w:sz w:val="24"/>
          <w:szCs w:val="24"/>
        </w:rPr>
        <w:t xml:space="preserve"> has two primary nominal markers: determiners and demonstratives. Pluralization in </w:t>
      </w:r>
      <w:proofErr w:type="spellStart"/>
      <w:r w:rsidR="002D4260">
        <w:rPr>
          <w:rStyle w:val="apple-converted-space"/>
          <w:rFonts w:ascii="Times New Roman" w:hAnsi="Times New Roman"/>
          <w:sz w:val="24"/>
          <w:szCs w:val="24"/>
        </w:rPr>
        <w:t>Paranan</w:t>
      </w:r>
      <w:proofErr w:type="spellEnd"/>
      <w:r w:rsidR="002D4260">
        <w:rPr>
          <w:rStyle w:val="apple-converted-space"/>
          <w:rFonts w:ascii="Times New Roman" w:hAnsi="Times New Roman"/>
          <w:sz w:val="24"/>
          <w:szCs w:val="24"/>
        </w:rPr>
        <w:t xml:space="preserve"> is marked by the use of the plural marker </w:t>
      </w:r>
      <w:proofErr w:type="spellStart"/>
      <w:r w:rsidR="002D4260" w:rsidRPr="003E5E07">
        <w:rPr>
          <w:rStyle w:val="apple-converted-space"/>
          <w:rFonts w:ascii="Times New Roman" w:hAnsi="Times New Roman"/>
          <w:i/>
          <w:sz w:val="24"/>
          <w:szCs w:val="24"/>
        </w:rPr>
        <w:t>hidi</w:t>
      </w:r>
      <w:proofErr w:type="spellEnd"/>
      <w:r w:rsidR="002D4260">
        <w:rPr>
          <w:rStyle w:val="apple-converted-space"/>
          <w:rFonts w:ascii="Times New Roman" w:hAnsi="Times New Roman"/>
          <w:i/>
          <w:iCs/>
          <w:sz w:val="24"/>
          <w:szCs w:val="24"/>
        </w:rPr>
        <w:t xml:space="preserve">, </w:t>
      </w:r>
      <w:r w:rsidR="002D4260">
        <w:rPr>
          <w:rStyle w:val="apple-converted-space"/>
          <w:rFonts w:ascii="Times New Roman" w:hAnsi="Times New Roman"/>
          <w:sz w:val="24"/>
          <w:szCs w:val="24"/>
        </w:rPr>
        <w:t xml:space="preserve">which may either be postnominal or prenominal. Besides gender, properties of common nouns, and borrowed nouns, </w:t>
      </w:r>
      <w:proofErr w:type="spellStart"/>
      <w:r w:rsidR="002D4260">
        <w:rPr>
          <w:rStyle w:val="apple-converted-space"/>
          <w:rFonts w:ascii="Times New Roman" w:hAnsi="Times New Roman"/>
          <w:sz w:val="24"/>
          <w:szCs w:val="24"/>
        </w:rPr>
        <w:t>Paranan</w:t>
      </w:r>
      <w:proofErr w:type="spellEnd"/>
      <w:r w:rsidR="002D4260">
        <w:rPr>
          <w:rStyle w:val="apple-converted-space"/>
          <w:rFonts w:ascii="Times New Roman" w:hAnsi="Times New Roman"/>
          <w:sz w:val="24"/>
          <w:szCs w:val="24"/>
        </w:rPr>
        <w:t xml:space="preserve"> has at least seven types of derived nouns. Other aspects of </w:t>
      </w:r>
      <w:proofErr w:type="spellStart"/>
      <w:r w:rsidR="002D4260">
        <w:rPr>
          <w:rStyle w:val="apple-converted-space"/>
          <w:rFonts w:ascii="Times New Roman" w:hAnsi="Times New Roman"/>
          <w:sz w:val="24"/>
          <w:szCs w:val="24"/>
        </w:rPr>
        <w:t>Paranan</w:t>
      </w:r>
      <w:proofErr w:type="spellEnd"/>
      <w:r w:rsidR="002D4260">
        <w:rPr>
          <w:rStyle w:val="apple-converted-space"/>
          <w:rFonts w:ascii="Times New Roman" w:hAnsi="Times New Roman"/>
          <w:sz w:val="24"/>
          <w:szCs w:val="24"/>
        </w:rPr>
        <w:t xml:space="preserve"> grammar warrant further investigation.</w:t>
      </w:r>
    </w:p>
    <w:p w14:paraId="27658CAD" w14:textId="77777777" w:rsidR="002D4260" w:rsidRDefault="002D4260" w:rsidP="002D4260">
      <w:pPr>
        <w:pStyle w:val="Body"/>
        <w:tabs>
          <w:tab w:val="left" w:pos="8820"/>
        </w:tabs>
        <w:spacing w:after="0" w:line="240" w:lineRule="auto"/>
        <w:ind w:left="562" w:right="562"/>
        <w:jc w:val="both"/>
        <w:rPr>
          <w:rFonts w:ascii="Times New Roman" w:eastAsia="Times New Roman" w:hAnsi="Times New Roman" w:cs="Times New Roman"/>
          <w:sz w:val="24"/>
          <w:szCs w:val="24"/>
        </w:rPr>
      </w:pPr>
    </w:p>
    <w:p w14:paraId="7DD2A1EF" w14:textId="77777777" w:rsidR="002D4260" w:rsidRDefault="002D4260" w:rsidP="002D4260">
      <w:pPr>
        <w:pStyle w:val="Body"/>
        <w:tabs>
          <w:tab w:val="left" w:pos="8820"/>
        </w:tabs>
        <w:spacing w:after="0" w:line="240" w:lineRule="auto"/>
        <w:ind w:left="2070" w:right="562" w:hanging="1170"/>
        <w:jc w:val="both"/>
        <w:rPr>
          <w:rStyle w:val="apple-converted-space"/>
          <w:rFonts w:ascii="Times New Roman" w:eastAsia="Times New Roman" w:hAnsi="Times New Roman" w:cs="Times New Roman"/>
          <w:i/>
          <w:iCs/>
          <w:sz w:val="24"/>
          <w:szCs w:val="24"/>
        </w:rPr>
      </w:pPr>
      <w:r>
        <w:rPr>
          <w:rStyle w:val="apple-converted-space"/>
          <w:rFonts w:ascii="Times New Roman" w:hAnsi="Times New Roman"/>
          <w:b/>
          <w:bCs/>
          <w:sz w:val="24"/>
          <w:szCs w:val="24"/>
        </w:rPr>
        <w:t>Keywords:</w:t>
      </w:r>
      <w:r>
        <w:rPr>
          <w:rStyle w:val="apple-converted-space"/>
          <w:rFonts w:ascii="Times New Roman" w:hAnsi="Times New Roman"/>
          <w:sz w:val="24"/>
          <w:szCs w:val="24"/>
        </w:rPr>
        <w:t xml:space="preserve"> </w:t>
      </w:r>
      <w:proofErr w:type="spellStart"/>
      <w:r>
        <w:rPr>
          <w:rStyle w:val="apple-converted-space"/>
          <w:rFonts w:ascii="Times New Roman" w:hAnsi="Times New Roman"/>
          <w:i/>
          <w:iCs/>
          <w:sz w:val="24"/>
          <w:szCs w:val="24"/>
        </w:rPr>
        <w:t>Paranan</w:t>
      </w:r>
      <w:proofErr w:type="spellEnd"/>
      <w:r>
        <w:rPr>
          <w:rStyle w:val="apple-converted-space"/>
          <w:rFonts w:ascii="Times New Roman" w:hAnsi="Times New Roman"/>
          <w:i/>
          <w:iCs/>
          <w:sz w:val="24"/>
          <w:szCs w:val="24"/>
        </w:rPr>
        <w:t>, nominal phrases, Philippine languages Northeastern Luzon language family</w:t>
      </w:r>
    </w:p>
    <w:p w14:paraId="149B4CE8" w14:textId="77777777" w:rsidR="002D4260" w:rsidRPr="00002BBA" w:rsidRDefault="002D4260" w:rsidP="002D4260">
      <w:pPr>
        <w:pStyle w:val="Body"/>
        <w:tabs>
          <w:tab w:val="left" w:pos="8820"/>
        </w:tabs>
        <w:spacing w:after="0" w:line="240" w:lineRule="auto"/>
        <w:ind w:left="900" w:right="562"/>
        <w:jc w:val="both"/>
        <w:rPr>
          <w:rStyle w:val="apple-converted-space"/>
          <w:rFonts w:ascii="Times New Roman" w:eastAsia="Times New Roman" w:hAnsi="Times New Roman" w:cs="Times New Roman"/>
          <w:sz w:val="24"/>
          <w:szCs w:val="24"/>
        </w:rPr>
      </w:pPr>
      <w:r w:rsidRPr="00002BBA">
        <w:rPr>
          <w:rStyle w:val="apple-converted-space"/>
          <w:rFonts w:ascii="Times New Roman" w:hAnsi="Times New Roman" w:cs="Times New Roman"/>
          <w:b/>
          <w:bCs/>
          <w:sz w:val="24"/>
          <w:szCs w:val="24"/>
        </w:rPr>
        <w:t>ISO 639-3 language codes:</w:t>
      </w:r>
      <w:r>
        <w:rPr>
          <w:rStyle w:val="apple-converted-space"/>
          <w:rFonts w:ascii="Times New Roman" w:hAnsi="Times New Roman" w:cs="Times New Roman"/>
          <w:sz w:val="24"/>
          <w:szCs w:val="24"/>
          <w:lang w:val="de-DE"/>
        </w:rPr>
        <w:t xml:space="preserve"> (</w:t>
      </w:r>
      <w:proofErr w:type="spellStart"/>
      <w:r>
        <w:rPr>
          <w:rStyle w:val="apple-converted-space"/>
          <w:rFonts w:ascii="Times New Roman" w:hAnsi="Times New Roman" w:cs="Times New Roman"/>
          <w:sz w:val="24"/>
          <w:szCs w:val="24"/>
          <w:lang w:val="de-DE"/>
        </w:rPr>
        <w:t>if</w:t>
      </w:r>
      <w:proofErr w:type="spellEnd"/>
      <w:r>
        <w:rPr>
          <w:rStyle w:val="apple-converted-space"/>
          <w:rFonts w:ascii="Times New Roman" w:hAnsi="Times New Roman" w:cs="Times New Roman"/>
          <w:sz w:val="24"/>
          <w:szCs w:val="24"/>
          <w:lang w:val="de-DE"/>
        </w:rPr>
        <w:t xml:space="preserve"> </w:t>
      </w:r>
      <w:proofErr w:type="spellStart"/>
      <w:r>
        <w:rPr>
          <w:rStyle w:val="apple-converted-space"/>
          <w:rFonts w:ascii="Times New Roman" w:hAnsi="Times New Roman" w:cs="Times New Roman"/>
          <w:sz w:val="24"/>
          <w:szCs w:val="24"/>
          <w:lang w:val="de-DE"/>
        </w:rPr>
        <w:t>applicable</w:t>
      </w:r>
      <w:proofErr w:type="spellEnd"/>
      <w:r>
        <w:rPr>
          <w:rStyle w:val="apple-converted-space"/>
          <w:rFonts w:ascii="Times New Roman" w:hAnsi="Times New Roman" w:cs="Times New Roman"/>
          <w:sz w:val="24"/>
          <w:szCs w:val="24"/>
          <w:lang w:val="de-DE"/>
        </w:rPr>
        <w:t xml:space="preserve">, </w:t>
      </w:r>
      <w:proofErr w:type="spellStart"/>
      <w:r>
        <w:rPr>
          <w:rStyle w:val="apple-converted-space"/>
          <w:rFonts w:ascii="Times New Roman" w:hAnsi="Times New Roman" w:cs="Times New Roman"/>
          <w:sz w:val="24"/>
          <w:szCs w:val="24"/>
          <w:lang w:val="de-DE"/>
        </w:rPr>
        <w:t>remove</w:t>
      </w:r>
      <w:proofErr w:type="spellEnd"/>
      <w:r>
        <w:rPr>
          <w:rStyle w:val="apple-converted-space"/>
          <w:rFonts w:ascii="Times New Roman" w:hAnsi="Times New Roman" w:cs="Times New Roman"/>
          <w:sz w:val="24"/>
          <w:szCs w:val="24"/>
          <w:lang w:val="de-DE"/>
        </w:rPr>
        <w:t xml:space="preserve"> </w:t>
      </w:r>
      <w:proofErr w:type="spellStart"/>
      <w:r>
        <w:rPr>
          <w:rStyle w:val="apple-converted-space"/>
          <w:rFonts w:ascii="Times New Roman" w:hAnsi="Times New Roman" w:cs="Times New Roman"/>
          <w:sz w:val="24"/>
          <w:szCs w:val="24"/>
          <w:lang w:val="de-DE"/>
        </w:rPr>
        <w:t>if</w:t>
      </w:r>
      <w:proofErr w:type="spellEnd"/>
      <w:r>
        <w:rPr>
          <w:rStyle w:val="apple-converted-space"/>
          <w:rFonts w:ascii="Times New Roman" w:hAnsi="Times New Roman" w:cs="Times New Roman"/>
          <w:sz w:val="24"/>
          <w:szCs w:val="24"/>
          <w:lang w:val="de-DE"/>
        </w:rPr>
        <w:t xml:space="preserve"> not)</w:t>
      </w:r>
    </w:p>
    <w:p w14:paraId="24E21628" w14:textId="77777777" w:rsidR="002D4260" w:rsidRDefault="002D4260" w:rsidP="002D4260">
      <w:pPr>
        <w:pStyle w:val="Body"/>
        <w:spacing w:after="0" w:line="240" w:lineRule="auto"/>
        <w:jc w:val="both"/>
        <w:rPr>
          <w:rStyle w:val="apple-converted-space"/>
          <w:rFonts w:ascii="Times New Roman" w:hAnsi="Times New Roman"/>
          <w:sz w:val="24"/>
          <w:szCs w:val="24"/>
          <w:lang w:val="es-ES_tradnl"/>
        </w:rPr>
      </w:pPr>
    </w:p>
    <w:p w14:paraId="1078C703" w14:textId="77777777" w:rsidR="002D4260" w:rsidRPr="002F41C2" w:rsidRDefault="002D4260" w:rsidP="002D4260">
      <w:pPr>
        <w:pStyle w:val="Body"/>
        <w:spacing w:after="0" w:line="240" w:lineRule="auto"/>
        <w:jc w:val="center"/>
        <w:rPr>
          <w:rStyle w:val="apple-converted-space"/>
          <w:rFonts w:ascii="Times New Roman" w:hAnsi="Times New Roman"/>
          <w:b/>
          <w:sz w:val="28"/>
          <w:szCs w:val="24"/>
          <w:lang w:val="es-ES_tradnl"/>
        </w:rPr>
      </w:pPr>
      <w:proofErr w:type="spellStart"/>
      <w:r w:rsidRPr="002F41C2">
        <w:rPr>
          <w:rStyle w:val="apple-converted-space"/>
          <w:rFonts w:ascii="Times New Roman" w:hAnsi="Times New Roman"/>
          <w:b/>
          <w:sz w:val="28"/>
          <w:szCs w:val="24"/>
          <w:lang w:val="es-ES_tradnl"/>
        </w:rPr>
        <w:t>Level</w:t>
      </w:r>
      <w:proofErr w:type="spellEnd"/>
      <w:r w:rsidRPr="002F41C2">
        <w:rPr>
          <w:rStyle w:val="apple-converted-space"/>
          <w:rFonts w:ascii="Times New Roman" w:hAnsi="Times New Roman"/>
          <w:b/>
          <w:sz w:val="28"/>
          <w:szCs w:val="24"/>
          <w:lang w:val="es-ES_tradnl"/>
        </w:rPr>
        <w:t xml:space="preserve"> 1 </w:t>
      </w:r>
      <w:proofErr w:type="spellStart"/>
      <w:r w:rsidRPr="002F41C2">
        <w:rPr>
          <w:rStyle w:val="apple-converted-space"/>
          <w:rFonts w:ascii="Times New Roman" w:hAnsi="Times New Roman"/>
          <w:b/>
          <w:sz w:val="28"/>
          <w:szCs w:val="24"/>
          <w:lang w:val="es-ES_tradnl"/>
        </w:rPr>
        <w:t>Heading</w:t>
      </w:r>
      <w:proofErr w:type="spellEnd"/>
    </w:p>
    <w:p w14:paraId="047786B3" w14:textId="77777777" w:rsidR="002D4260" w:rsidRPr="002F41C2" w:rsidRDefault="002D4260" w:rsidP="002D4260">
      <w:pPr>
        <w:pStyle w:val="Body"/>
        <w:spacing w:after="0" w:line="240" w:lineRule="auto"/>
        <w:rPr>
          <w:rStyle w:val="apple-converted-space"/>
          <w:rFonts w:ascii="Times New Roman" w:hAnsi="Times New Roman"/>
          <w:b/>
          <w:sz w:val="24"/>
          <w:szCs w:val="24"/>
          <w:lang w:val="es-ES_tradnl"/>
        </w:rPr>
      </w:pPr>
      <w:proofErr w:type="spellStart"/>
      <w:r>
        <w:rPr>
          <w:rStyle w:val="apple-converted-space"/>
          <w:rFonts w:ascii="Times New Roman" w:hAnsi="Times New Roman"/>
          <w:b/>
          <w:sz w:val="24"/>
          <w:szCs w:val="24"/>
          <w:lang w:val="es-ES_tradnl"/>
        </w:rPr>
        <w:t>Level</w:t>
      </w:r>
      <w:proofErr w:type="spellEnd"/>
      <w:r>
        <w:rPr>
          <w:rStyle w:val="apple-converted-space"/>
          <w:rFonts w:ascii="Times New Roman" w:hAnsi="Times New Roman"/>
          <w:b/>
          <w:sz w:val="24"/>
          <w:szCs w:val="24"/>
          <w:lang w:val="es-ES_tradnl"/>
        </w:rPr>
        <w:t xml:space="preserve"> 2</w:t>
      </w:r>
      <w:r w:rsidRPr="002F41C2">
        <w:rPr>
          <w:rStyle w:val="apple-converted-space"/>
          <w:rFonts w:ascii="Times New Roman" w:hAnsi="Times New Roman"/>
          <w:b/>
          <w:sz w:val="24"/>
          <w:szCs w:val="24"/>
          <w:lang w:val="es-ES_tradnl"/>
        </w:rPr>
        <w:t xml:space="preserve"> </w:t>
      </w:r>
      <w:proofErr w:type="spellStart"/>
      <w:r w:rsidRPr="002F41C2">
        <w:rPr>
          <w:rStyle w:val="apple-converted-space"/>
          <w:rFonts w:ascii="Times New Roman" w:hAnsi="Times New Roman"/>
          <w:b/>
          <w:sz w:val="24"/>
          <w:szCs w:val="24"/>
          <w:lang w:val="es-ES_tradnl"/>
        </w:rPr>
        <w:t>Heading</w:t>
      </w:r>
      <w:proofErr w:type="spellEnd"/>
    </w:p>
    <w:p w14:paraId="787734E0" w14:textId="77777777" w:rsidR="002D4260" w:rsidRDefault="002D4260" w:rsidP="002D4260">
      <w:pPr>
        <w:pStyle w:val="Body"/>
        <w:spacing w:after="0" w:line="240" w:lineRule="auto"/>
        <w:jc w:val="both"/>
        <w:rPr>
          <w:rStyle w:val="apple-converted-space"/>
          <w:rFonts w:ascii="Times New Roman" w:hAnsi="Times New Roman"/>
          <w:sz w:val="24"/>
          <w:szCs w:val="24"/>
          <w:lang w:val="es-ES_tradnl"/>
        </w:rPr>
      </w:pP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
    <w:p w14:paraId="103469E4" w14:textId="77777777" w:rsidR="002D4260" w:rsidRDefault="002D4260" w:rsidP="002D4260">
      <w:pPr>
        <w:pStyle w:val="Body"/>
        <w:spacing w:after="0" w:line="240" w:lineRule="auto"/>
        <w:ind w:firstLine="540"/>
        <w:jc w:val="both"/>
        <w:rPr>
          <w:rStyle w:val="apple-converted-space"/>
          <w:rFonts w:ascii="Times New Roman" w:hAnsi="Times New Roman"/>
          <w:sz w:val="24"/>
          <w:szCs w:val="24"/>
          <w:lang w:val="es-ES_tradnl"/>
        </w:rPr>
      </w:pP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w:t>
      </w:r>
    </w:p>
    <w:p w14:paraId="45CF14B0" w14:textId="77777777" w:rsidR="002D4260" w:rsidRDefault="002D4260" w:rsidP="002D4260">
      <w:pPr>
        <w:pStyle w:val="Body"/>
        <w:spacing w:after="0" w:line="240" w:lineRule="auto"/>
        <w:ind w:firstLine="540"/>
        <w:jc w:val="both"/>
        <w:rPr>
          <w:rStyle w:val="apple-converted-space"/>
          <w:rFonts w:ascii="Times New Roman" w:hAnsi="Times New Roman"/>
          <w:sz w:val="24"/>
          <w:szCs w:val="24"/>
          <w:lang w:val="es-ES_tradnl"/>
        </w:rPr>
      </w:pP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w:t>
      </w:r>
    </w:p>
    <w:p w14:paraId="2A9CDE33" w14:textId="77777777" w:rsidR="008912B2" w:rsidRDefault="008912B2" w:rsidP="008912B2">
      <w:pPr>
        <w:pStyle w:val="Body"/>
        <w:spacing w:after="0" w:line="240" w:lineRule="auto"/>
        <w:jc w:val="both"/>
        <w:rPr>
          <w:rStyle w:val="apple-converted-space"/>
          <w:rFonts w:ascii="Times New Roman" w:hAnsi="Times New Roman"/>
          <w:sz w:val="24"/>
          <w:szCs w:val="24"/>
          <w:lang w:val="es-ES_tradnl"/>
        </w:rPr>
      </w:pPr>
    </w:p>
    <w:p w14:paraId="72E7B444" w14:textId="77777777" w:rsidR="008912B2" w:rsidRDefault="002D4260" w:rsidP="008912B2">
      <w:pPr>
        <w:pStyle w:val="Body"/>
        <w:spacing w:after="0" w:line="240" w:lineRule="auto"/>
        <w:rPr>
          <w:rStyle w:val="apple-converted-space"/>
          <w:rFonts w:ascii="Times New Roman" w:hAnsi="Times New Roman"/>
          <w:b/>
          <w:sz w:val="24"/>
          <w:szCs w:val="24"/>
          <w:lang w:val="es-ES_tradnl"/>
        </w:rPr>
      </w:pPr>
      <w:proofErr w:type="spellStart"/>
      <w:r>
        <w:rPr>
          <w:rStyle w:val="apple-converted-space"/>
          <w:rFonts w:ascii="Times New Roman" w:hAnsi="Times New Roman"/>
          <w:b/>
          <w:sz w:val="24"/>
          <w:szCs w:val="24"/>
          <w:lang w:val="es-ES_tradnl"/>
        </w:rPr>
        <w:t>Level</w:t>
      </w:r>
      <w:proofErr w:type="spellEnd"/>
      <w:r>
        <w:rPr>
          <w:rStyle w:val="apple-converted-space"/>
          <w:rFonts w:ascii="Times New Roman" w:hAnsi="Times New Roman"/>
          <w:b/>
          <w:sz w:val="24"/>
          <w:szCs w:val="24"/>
          <w:lang w:val="es-ES_tradnl"/>
        </w:rPr>
        <w:t xml:space="preserve"> 2</w:t>
      </w:r>
      <w:r w:rsidRPr="002F41C2">
        <w:rPr>
          <w:rStyle w:val="apple-converted-space"/>
          <w:rFonts w:ascii="Times New Roman" w:hAnsi="Times New Roman"/>
          <w:b/>
          <w:sz w:val="24"/>
          <w:szCs w:val="24"/>
          <w:lang w:val="es-ES_tradnl"/>
        </w:rPr>
        <w:t xml:space="preserve"> </w:t>
      </w:r>
      <w:proofErr w:type="spellStart"/>
      <w:r w:rsidRPr="002F41C2">
        <w:rPr>
          <w:rStyle w:val="apple-converted-space"/>
          <w:rFonts w:ascii="Times New Roman" w:hAnsi="Times New Roman"/>
          <w:b/>
          <w:sz w:val="24"/>
          <w:szCs w:val="24"/>
          <w:lang w:val="es-ES_tradnl"/>
        </w:rPr>
        <w:t>Heading</w:t>
      </w:r>
      <w:proofErr w:type="spellEnd"/>
    </w:p>
    <w:p w14:paraId="318CE30F" w14:textId="508E01CB" w:rsidR="008912B2" w:rsidRPr="008912B2" w:rsidRDefault="008912B2" w:rsidP="008912B2">
      <w:pPr>
        <w:pStyle w:val="Body"/>
        <w:spacing w:after="0" w:line="240" w:lineRule="auto"/>
        <w:rPr>
          <w:rStyle w:val="apple-converted-space"/>
          <w:rFonts w:ascii="Times New Roman" w:hAnsi="Times New Roman"/>
          <w:b/>
          <w:sz w:val="24"/>
          <w:szCs w:val="24"/>
          <w:lang w:val="es-ES_tradnl"/>
        </w:rPr>
      </w:pPr>
      <w:proofErr w:type="spellStart"/>
      <w:r w:rsidRPr="002F41C2">
        <w:rPr>
          <w:rStyle w:val="apple-converted-space"/>
          <w:rFonts w:ascii="Times New Roman" w:hAnsi="Times New Roman"/>
          <w:sz w:val="24"/>
          <w:szCs w:val="24"/>
          <w:lang w:val="es-ES_tradnl"/>
        </w:rPr>
        <w:lastRenderedPageBreak/>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
    <w:p w14:paraId="270CCFCE" w14:textId="77777777" w:rsidR="008912B2" w:rsidRDefault="008912B2" w:rsidP="002D4260">
      <w:pPr>
        <w:pStyle w:val="Body"/>
        <w:spacing w:after="0" w:line="240" w:lineRule="auto"/>
        <w:jc w:val="both"/>
        <w:rPr>
          <w:rStyle w:val="apple-converted-space"/>
          <w:rFonts w:ascii="Times New Roman" w:hAnsi="Times New Roman"/>
          <w:sz w:val="24"/>
          <w:szCs w:val="24"/>
          <w:lang w:val="es-ES_tradnl"/>
        </w:rPr>
      </w:pPr>
    </w:p>
    <w:p w14:paraId="4B2D90FC" w14:textId="77777777" w:rsidR="002D4260" w:rsidRDefault="002D4260" w:rsidP="002D4260">
      <w:pPr>
        <w:pStyle w:val="Body"/>
        <w:spacing w:after="0" w:line="240" w:lineRule="auto"/>
        <w:jc w:val="both"/>
        <w:rPr>
          <w:rStyle w:val="apple-converted-space"/>
          <w:rFonts w:ascii="Times New Roman" w:hAnsi="Times New Roman"/>
          <w:sz w:val="24"/>
          <w:szCs w:val="24"/>
          <w:lang w:val="es-ES_tradnl"/>
        </w:rPr>
      </w:pPr>
      <w:proofErr w:type="spellStart"/>
      <w:r w:rsidRPr="002F41C2">
        <w:rPr>
          <w:rStyle w:val="apple-converted-space"/>
          <w:rFonts w:ascii="Times New Roman" w:hAnsi="Times New Roman"/>
          <w:b/>
          <w:sz w:val="24"/>
          <w:szCs w:val="24"/>
          <w:lang w:val="es-ES_tradnl"/>
        </w:rPr>
        <w:t>Level</w:t>
      </w:r>
      <w:proofErr w:type="spellEnd"/>
      <w:r w:rsidRPr="002F41C2">
        <w:rPr>
          <w:rStyle w:val="apple-converted-space"/>
          <w:rFonts w:ascii="Times New Roman" w:hAnsi="Times New Roman"/>
          <w:b/>
          <w:sz w:val="24"/>
          <w:szCs w:val="24"/>
          <w:lang w:val="es-ES_tradnl"/>
        </w:rPr>
        <w:t xml:space="preserve"> 3 </w:t>
      </w:r>
      <w:proofErr w:type="spellStart"/>
      <w:r w:rsidRPr="002F41C2">
        <w:rPr>
          <w:rStyle w:val="apple-converted-space"/>
          <w:rFonts w:ascii="Times New Roman" w:hAnsi="Times New Roman"/>
          <w:b/>
          <w:sz w:val="24"/>
          <w:szCs w:val="24"/>
          <w:lang w:val="es-ES_tradnl"/>
        </w:rPr>
        <w:t>Heading</w:t>
      </w:r>
      <w:proofErr w:type="spellEnd"/>
      <w:r w:rsidRPr="002F41C2">
        <w:rPr>
          <w:rStyle w:val="apple-converted-space"/>
          <w:rFonts w:ascii="Times New Roman" w:hAnsi="Times New Roman"/>
          <w:b/>
          <w:sz w:val="24"/>
          <w:szCs w:val="24"/>
          <w:lang w:val="es-ES_tradnl"/>
        </w:rPr>
        <w:t>.</w:t>
      </w:r>
      <w:r>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
    <w:p w14:paraId="2E1FEE83" w14:textId="77777777" w:rsidR="002D4260" w:rsidRDefault="002D4260" w:rsidP="002D4260">
      <w:pPr>
        <w:pStyle w:val="Body"/>
        <w:spacing w:after="0" w:line="240" w:lineRule="auto"/>
        <w:ind w:firstLine="540"/>
        <w:jc w:val="both"/>
        <w:rPr>
          <w:rStyle w:val="apple-converted-space"/>
          <w:rFonts w:ascii="Times New Roman" w:hAnsi="Times New Roman"/>
          <w:sz w:val="24"/>
          <w:szCs w:val="24"/>
          <w:lang w:val="es-ES_tradnl"/>
        </w:rPr>
      </w:pP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w:t>
      </w:r>
    </w:p>
    <w:p w14:paraId="1A0DDEB3" w14:textId="77777777" w:rsidR="002D4260" w:rsidRDefault="002D4260" w:rsidP="002D4260">
      <w:pPr>
        <w:pStyle w:val="Body"/>
        <w:spacing w:after="0" w:line="240" w:lineRule="auto"/>
        <w:jc w:val="both"/>
        <w:rPr>
          <w:rStyle w:val="apple-converted-space"/>
          <w:rFonts w:ascii="Times New Roman" w:hAnsi="Times New Roman"/>
          <w:sz w:val="24"/>
          <w:szCs w:val="24"/>
          <w:lang w:val="es-ES_tradnl"/>
        </w:rPr>
      </w:pPr>
    </w:p>
    <w:p w14:paraId="21253AF7" w14:textId="77777777" w:rsidR="002D4260" w:rsidRDefault="002D4260" w:rsidP="002D4260">
      <w:pPr>
        <w:pStyle w:val="Body"/>
        <w:spacing w:after="0" w:line="240" w:lineRule="auto"/>
        <w:jc w:val="both"/>
        <w:rPr>
          <w:rStyle w:val="apple-converted-space"/>
          <w:rFonts w:ascii="Times New Roman" w:hAnsi="Times New Roman"/>
          <w:sz w:val="24"/>
          <w:szCs w:val="24"/>
          <w:lang w:val="es-ES_tradnl"/>
        </w:rPr>
      </w:pPr>
      <w:proofErr w:type="spellStart"/>
      <w:r w:rsidRPr="002F41C2">
        <w:rPr>
          <w:rStyle w:val="apple-converted-space"/>
          <w:rFonts w:ascii="Times New Roman" w:hAnsi="Times New Roman"/>
          <w:b/>
          <w:sz w:val="24"/>
          <w:szCs w:val="24"/>
          <w:lang w:val="es-ES_tradnl"/>
        </w:rPr>
        <w:t>Level</w:t>
      </w:r>
      <w:proofErr w:type="spellEnd"/>
      <w:r w:rsidRPr="002F41C2">
        <w:rPr>
          <w:rStyle w:val="apple-converted-space"/>
          <w:rFonts w:ascii="Times New Roman" w:hAnsi="Times New Roman"/>
          <w:b/>
          <w:sz w:val="24"/>
          <w:szCs w:val="24"/>
          <w:lang w:val="es-ES_tradnl"/>
        </w:rPr>
        <w:t xml:space="preserve"> 3 </w:t>
      </w:r>
      <w:proofErr w:type="spellStart"/>
      <w:r w:rsidRPr="002F41C2">
        <w:rPr>
          <w:rStyle w:val="apple-converted-space"/>
          <w:rFonts w:ascii="Times New Roman" w:hAnsi="Times New Roman"/>
          <w:b/>
          <w:sz w:val="24"/>
          <w:szCs w:val="24"/>
          <w:lang w:val="es-ES_tradnl"/>
        </w:rPr>
        <w:t>Heading</w:t>
      </w:r>
      <w:proofErr w:type="spellEnd"/>
      <w:r w:rsidRPr="002F41C2">
        <w:rPr>
          <w:rStyle w:val="apple-converted-space"/>
          <w:rFonts w:ascii="Times New Roman" w:hAnsi="Times New Roman"/>
          <w:b/>
          <w:sz w:val="24"/>
          <w:szCs w:val="24"/>
          <w:lang w:val="es-ES_tradnl"/>
        </w:rPr>
        <w:t>.</w:t>
      </w:r>
      <w:r>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First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not</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
    <w:p w14:paraId="2C53E994" w14:textId="77777777" w:rsidR="002D4260" w:rsidRDefault="002D4260" w:rsidP="002D4260">
      <w:pPr>
        <w:pStyle w:val="Body"/>
        <w:spacing w:after="0" w:line="240" w:lineRule="auto"/>
        <w:ind w:firstLine="540"/>
        <w:jc w:val="both"/>
        <w:rPr>
          <w:rStyle w:val="apple-converted-space"/>
          <w:rFonts w:ascii="Times New Roman" w:hAnsi="Times New Roman"/>
          <w:sz w:val="24"/>
          <w:szCs w:val="24"/>
          <w:lang w:val="es-ES_tradnl"/>
        </w:rPr>
      </w:pP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Other</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paragraphs</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indented</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slightly</w:t>
      </w:r>
      <w:proofErr w:type="spellEnd"/>
      <w:r w:rsidRPr="002F41C2">
        <w:rPr>
          <w:rStyle w:val="apple-converted-space"/>
          <w:rFonts w:ascii="Times New Roman" w:hAnsi="Times New Roman"/>
          <w:sz w:val="24"/>
          <w:szCs w:val="24"/>
          <w:lang w:val="es-ES_tradnl"/>
        </w:rPr>
        <w:t xml:space="preserve">. </w:t>
      </w:r>
      <w:proofErr w:type="spellStart"/>
      <w:r w:rsidRPr="002F41C2">
        <w:rPr>
          <w:rStyle w:val="apple-converted-space"/>
          <w:rFonts w:ascii="Times New Roman" w:hAnsi="Times New Roman"/>
          <w:sz w:val="24"/>
          <w:szCs w:val="24"/>
          <w:lang w:val="es-ES_tradnl"/>
        </w:rPr>
        <w:t>Oth</w:t>
      </w:r>
      <w:r>
        <w:rPr>
          <w:rStyle w:val="apple-converted-space"/>
          <w:rFonts w:ascii="Times New Roman" w:hAnsi="Times New Roman"/>
          <w:sz w:val="24"/>
          <w:szCs w:val="24"/>
          <w:lang w:val="es-ES_tradnl"/>
        </w:rPr>
        <w:t>er</w:t>
      </w:r>
      <w:proofErr w:type="spellEnd"/>
      <w:r>
        <w:rPr>
          <w:rStyle w:val="apple-converted-space"/>
          <w:rFonts w:ascii="Times New Roman" w:hAnsi="Times New Roman"/>
          <w:sz w:val="24"/>
          <w:szCs w:val="24"/>
          <w:lang w:val="es-ES_tradnl"/>
        </w:rPr>
        <w:t xml:space="preserve"> </w:t>
      </w:r>
      <w:proofErr w:type="spellStart"/>
      <w:r>
        <w:rPr>
          <w:rStyle w:val="apple-converted-space"/>
          <w:rFonts w:ascii="Times New Roman" w:hAnsi="Times New Roman"/>
          <w:sz w:val="24"/>
          <w:szCs w:val="24"/>
          <w:lang w:val="es-ES_tradnl"/>
        </w:rPr>
        <w:t>paragraphs</w:t>
      </w:r>
      <w:proofErr w:type="spellEnd"/>
      <w:r>
        <w:rPr>
          <w:rStyle w:val="apple-converted-space"/>
          <w:rFonts w:ascii="Times New Roman" w:hAnsi="Times New Roman"/>
          <w:sz w:val="24"/>
          <w:szCs w:val="24"/>
          <w:lang w:val="es-ES_tradnl"/>
        </w:rPr>
        <w:t xml:space="preserve"> </w:t>
      </w:r>
      <w:proofErr w:type="spellStart"/>
      <w:r>
        <w:rPr>
          <w:rStyle w:val="apple-converted-space"/>
          <w:rFonts w:ascii="Times New Roman" w:hAnsi="Times New Roman"/>
          <w:sz w:val="24"/>
          <w:szCs w:val="24"/>
          <w:lang w:val="es-ES_tradnl"/>
        </w:rPr>
        <w:t>indented</w:t>
      </w:r>
      <w:proofErr w:type="spellEnd"/>
      <w:r>
        <w:rPr>
          <w:rStyle w:val="apple-converted-space"/>
          <w:rFonts w:ascii="Times New Roman" w:hAnsi="Times New Roman"/>
          <w:sz w:val="24"/>
          <w:szCs w:val="24"/>
          <w:lang w:val="es-ES_tradnl"/>
        </w:rPr>
        <w:t xml:space="preserve"> </w:t>
      </w:r>
      <w:proofErr w:type="spellStart"/>
      <w:r>
        <w:rPr>
          <w:rStyle w:val="apple-converted-space"/>
          <w:rFonts w:ascii="Times New Roman" w:hAnsi="Times New Roman"/>
          <w:sz w:val="24"/>
          <w:szCs w:val="24"/>
          <w:lang w:val="es-ES_tradnl"/>
        </w:rPr>
        <w:t>slightly</w:t>
      </w:r>
      <w:proofErr w:type="spellEnd"/>
      <w:r>
        <w:rPr>
          <w:rStyle w:val="apple-converted-space"/>
          <w:rFonts w:ascii="Times New Roman" w:hAnsi="Times New Roman"/>
          <w:sz w:val="24"/>
          <w:szCs w:val="24"/>
          <w:lang w:val="es-ES_tradnl"/>
        </w:rPr>
        <w:t>.</w:t>
      </w:r>
    </w:p>
    <w:p w14:paraId="2A34900F" w14:textId="77777777" w:rsidR="002D4260" w:rsidRDefault="002D4260" w:rsidP="002D4260">
      <w:pPr>
        <w:pStyle w:val="Body"/>
        <w:spacing w:after="0" w:line="240" w:lineRule="auto"/>
        <w:ind w:firstLine="540"/>
        <w:jc w:val="both"/>
        <w:rPr>
          <w:rStyle w:val="apple-converted-space"/>
          <w:rFonts w:ascii="Times New Roman" w:hAnsi="Times New Roman"/>
          <w:sz w:val="24"/>
          <w:szCs w:val="24"/>
          <w:lang w:val="es-ES_tradnl"/>
        </w:rPr>
      </w:pPr>
    </w:p>
    <w:p w14:paraId="3D875941" w14:textId="77777777" w:rsidR="002D4260" w:rsidRDefault="002D4260" w:rsidP="002D4260">
      <w:pPr>
        <w:pStyle w:val="Body"/>
        <w:spacing w:after="0" w:line="240" w:lineRule="auto"/>
        <w:jc w:val="both"/>
        <w:rPr>
          <w:rStyle w:val="apple-converted-space"/>
          <w:rFonts w:ascii="Times New Roman" w:hAnsi="Times New Roman"/>
          <w:sz w:val="24"/>
          <w:szCs w:val="24"/>
          <w:lang w:val="es-ES_tradnl"/>
        </w:rPr>
      </w:pPr>
      <w:r w:rsidRPr="002D4260">
        <w:rPr>
          <w:rStyle w:val="apple-converted-space"/>
          <w:rFonts w:ascii="Times New Roman" w:hAnsi="Times New Roman"/>
          <w:sz w:val="24"/>
          <w:szCs w:val="24"/>
          <w:highlight w:val="yellow"/>
          <w:lang w:val="es-ES_tradnl"/>
        </w:rPr>
        <w:t>[</w:t>
      </w:r>
      <w:proofErr w:type="spellStart"/>
      <w:r w:rsidRPr="002D4260">
        <w:rPr>
          <w:rStyle w:val="apple-converted-space"/>
          <w:rFonts w:ascii="Times New Roman" w:hAnsi="Times New Roman"/>
          <w:sz w:val="24"/>
          <w:szCs w:val="24"/>
          <w:highlight w:val="yellow"/>
          <w:lang w:val="es-ES_tradnl"/>
        </w:rPr>
        <w:t>Glossing</w:t>
      </w:r>
      <w:proofErr w:type="spellEnd"/>
      <w:r w:rsidRPr="002D4260">
        <w:rPr>
          <w:rStyle w:val="apple-converted-space"/>
          <w:rFonts w:ascii="Times New Roman" w:hAnsi="Times New Roman"/>
          <w:sz w:val="24"/>
          <w:szCs w:val="24"/>
          <w:highlight w:val="yellow"/>
          <w:lang w:val="es-ES_tradnl"/>
        </w:rPr>
        <w:t xml:space="preserve"> </w:t>
      </w:r>
      <w:proofErr w:type="spellStart"/>
      <w:r w:rsidRPr="002D4260">
        <w:rPr>
          <w:rStyle w:val="apple-converted-space"/>
          <w:rFonts w:ascii="Times New Roman" w:hAnsi="Times New Roman"/>
          <w:sz w:val="24"/>
          <w:szCs w:val="24"/>
          <w:highlight w:val="yellow"/>
          <w:lang w:val="es-ES_tradnl"/>
        </w:rPr>
        <w:t>should</w:t>
      </w:r>
      <w:proofErr w:type="spellEnd"/>
      <w:r w:rsidRPr="002D4260">
        <w:rPr>
          <w:rStyle w:val="apple-converted-space"/>
          <w:rFonts w:ascii="Times New Roman" w:hAnsi="Times New Roman"/>
          <w:sz w:val="24"/>
          <w:szCs w:val="24"/>
          <w:highlight w:val="yellow"/>
          <w:lang w:val="es-ES_tradnl"/>
        </w:rPr>
        <w:t xml:space="preserve"> be </w:t>
      </w:r>
      <w:proofErr w:type="spellStart"/>
      <w:r w:rsidRPr="002D4260">
        <w:rPr>
          <w:rStyle w:val="apple-converted-space"/>
          <w:rFonts w:ascii="Times New Roman" w:hAnsi="Times New Roman"/>
          <w:sz w:val="24"/>
          <w:szCs w:val="24"/>
          <w:highlight w:val="yellow"/>
          <w:lang w:val="es-ES_tradnl"/>
        </w:rPr>
        <w:t>tab-separated</w:t>
      </w:r>
      <w:proofErr w:type="spellEnd"/>
      <w:r w:rsidRPr="002D4260">
        <w:rPr>
          <w:rStyle w:val="apple-converted-space"/>
          <w:rFonts w:ascii="Times New Roman" w:hAnsi="Times New Roman"/>
          <w:sz w:val="24"/>
          <w:szCs w:val="24"/>
          <w:highlight w:val="yellow"/>
          <w:lang w:val="es-ES_tradnl"/>
        </w:rPr>
        <w:t>]</w:t>
      </w:r>
    </w:p>
    <w:p w14:paraId="0C77E93C" w14:textId="77777777" w:rsidR="002D4260" w:rsidRDefault="002D4260" w:rsidP="002D4260">
      <w:pPr>
        <w:pStyle w:val="Body"/>
        <w:spacing w:after="0" w:line="240" w:lineRule="auto"/>
        <w:ind w:firstLine="540"/>
        <w:jc w:val="both"/>
        <w:rPr>
          <w:rStyle w:val="apple-converted-space"/>
          <w:rFonts w:ascii="Times New Roman" w:hAnsi="Times New Roman"/>
          <w:sz w:val="24"/>
          <w:szCs w:val="24"/>
          <w:lang w:val="es-ES_tradnl"/>
        </w:rPr>
      </w:pPr>
    </w:p>
    <w:p w14:paraId="6F3B555F" w14:textId="77777777" w:rsidR="002D4260" w:rsidRDefault="002D4260" w:rsidP="002D4260">
      <w:r>
        <w:t>(X)</w:t>
      </w:r>
      <w:r>
        <w:tab/>
      </w:r>
      <w:proofErr w:type="spellStart"/>
      <w:r w:rsidRPr="002D4260">
        <w:rPr>
          <w:i/>
        </w:rPr>
        <w:t>Dapat</w:t>
      </w:r>
      <w:proofErr w:type="spellEnd"/>
      <w:r w:rsidRPr="002D4260">
        <w:rPr>
          <w:i/>
        </w:rPr>
        <w:tab/>
      </w:r>
      <w:r w:rsidRPr="002D4260">
        <w:rPr>
          <w:i/>
        </w:rPr>
        <w:tab/>
        <w:t>di</w:t>
      </w:r>
      <w:r w:rsidRPr="002D4260">
        <w:rPr>
          <w:i/>
        </w:rPr>
        <w:tab/>
      </w:r>
      <w:proofErr w:type="spellStart"/>
      <w:r w:rsidRPr="002D4260">
        <w:rPr>
          <w:i/>
        </w:rPr>
        <w:t>ki</w:t>
      </w:r>
      <w:proofErr w:type="spellEnd"/>
      <w:r w:rsidRPr="002D4260">
        <w:rPr>
          <w:i/>
        </w:rPr>
        <w:t>-to</w:t>
      </w:r>
      <w:r w:rsidRPr="002D4260">
        <w:rPr>
          <w:i/>
        </w:rPr>
        <w:tab/>
      </w:r>
      <w:proofErr w:type="spellStart"/>
      <w:r w:rsidRPr="002D4260">
        <w:rPr>
          <w:i/>
        </w:rPr>
        <w:t>nalang</w:t>
      </w:r>
      <w:proofErr w:type="spellEnd"/>
      <w:r w:rsidRPr="002D4260">
        <w:rPr>
          <w:i/>
        </w:rPr>
        <w:tab/>
      </w:r>
      <w:r w:rsidRPr="002D4260">
        <w:rPr>
          <w:i/>
        </w:rPr>
        <w:tab/>
        <w:t>la.</w:t>
      </w:r>
      <w:r w:rsidRPr="00CC7405">
        <w:t xml:space="preserve"> </w:t>
      </w:r>
      <w:r>
        <w:t xml:space="preserve"> (Gonzales, 2017, p. 23)</w:t>
      </w:r>
    </w:p>
    <w:p w14:paraId="52470EA7" w14:textId="77777777" w:rsidR="002D4260" w:rsidRPr="00A51556" w:rsidRDefault="002D4260" w:rsidP="002D4260">
      <w:pPr>
        <w:ind w:left="284" w:firstLine="436"/>
      </w:pPr>
      <w:r>
        <w:t>should</w:t>
      </w:r>
      <w:r>
        <w:tab/>
      </w:r>
      <w:r>
        <w:tab/>
        <w:t>2SG</w:t>
      </w:r>
      <w:r>
        <w:tab/>
        <w:t>pray</w:t>
      </w:r>
      <w:r>
        <w:tab/>
        <w:t>PRT</w:t>
      </w:r>
      <w:r>
        <w:tab/>
      </w:r>
      <w:r>
        <w:tab/>
      </w:r>
      <w:proofErr w:type="spellStart"/>
      <w:r w:rsidRPr="00A51556">
        <w:t>PRT</w:t>
      </w:r>
      <w:proofErr w:type="spellEnd"/>
    </w:p>
    <w:p w14:paraId="0B0A014D" w14:textId="77777777" w:rsidR="002D4260" w:rsidRPr="00CC7405" w:rsidRDefault="002D4260" w:rsidP="002D4260">
      <w:pPr>
        <w:ind w:left="284" w:firstLine="436"/>
      </w:pPr>
      <w:r w:rsidRPr="00A51556">
        <w:t>‘You should have prayed.’</w:t>
      </w:r>
    </w:p>
    <w:p w14:paraId="19E09847" w14:textId="77777777" w:rsidR="002D4260" w:rsidRDefault="002D4260" w:rsidP="002D4260">
      <w:pPr>
        <w:pStyle w:val="Body"/>
        <w:spacing w:after="0" w:line="240" w:lineRule="auto"/>
        <w:jc w:val="both"/>
        <w:rPr>
          <w:rStyle w:val="apple-converted-space"/>
          <w:rFonts w:ascii="Times New Roman" w:hAnsi="Times New Roman"/>
          <w:sz w:val="24"/>
          <w:szCs w:val="24"/>
          <w:lang w:val="es-ES_tradnl"/>
        </w:rPr>
      </w:pPr>
    </w:p>
    <w:p w14:paraId="583EA333" w14:textId="77777777" w:rsidR="002D4260" w:rsidRPr="004158C8" w:rsidRDefault="002D4260" w:rsidP="002D4260">
      <w:pPr>
        <w:jc w:val="both"/>
      </w:pPr>
    </w:p>
    <w:p w14:paraId="7607B956" w14:textId="77777777" w:rsidR="002D4260" w:rsidRPr="00DA5CFC" w:rsidRDefault="002D4260" w:rsidP="002D4260">
      <w:r>
        <w:t>Table 1</w:t>
      </w:r>
    </w:p>
    <w:p w14:paraId="215E01F8" w14:textId="77777777" w:rsidR="002D4260" w:rsidRDefault="002D4260" w:rsidP="002D4260">
      <w:pPr>
        <w:rPr>
          <w:b/>
        </w:rPr>
      </w:pPr>
    </w:p>
    <w:p w14:paraId="2E7E45F6" w14:textId="77777777" w:rsidR="002D4260" w:rsidRPr="00DA5CFC" w:rsidRDefault="002D4260" w:rsidP="002D4260">
      <w:pPr>
        <w:ind w:firstLine="540"/>
        <w:rPr>
          <w:i/>
        </w:rPr>
      </w:pPr>
      <w:r>
        <w:rPr>
          <w:i/>
        </w:rPr>
        <w:t xml:space="preserve">This is your table title and description </w:t>
      </w:r>
    </w:p>
    <w:p w14:paraId="3D4EB10E" w14:textId="77777777" w:rsidR="002D4260" w:rsidRPr="004158C8" w:rsidRDefault="002D4260" w:rsidP="002D4260"/>
    <w:tbl>
      <w:tblPr>
        <w:tblW w:w="5000" w:type="pct"/>
        <w:tblCellMar>
          <w:left w:w="0" w:type="dxa"/>
          <w:right w:w="0" w:type="dxa"/>
        </w:tblCellMar>
        <w:tblLook w:val="0600" w:firstRow="0" w:lastRow="0" w:firstColumn="0" w:lastColumn="0" w:noHBand="1" w:noVBand="1"/>
      </w:tblPr>
      <w:tblGrid>
        <w:gridCol w:w="1560"/>
        <w:gridCol w:w="605"/>
        <w:gridCol w:w="659"/>
        <w:gridCol w:w="565"/>
        <w:gridCol w:w="654"/>
        <w:gridCol w:w="654"/>
        <w:gridCol w:w="791"/>
        <w:gridCol w:w="607"/>
        <w:gridCol w:w="659"/>
        <w:gridCol w:w="627"/>
        <w:gridCol w:w="657"/>
        <w:gridCol w:w="608"/>
        <w:gridCol w:w="744"/>
      </w:tblGrid>
      <w:tr w:rsidR="002D4260" w:rsidRPr="009B40F8" w14:paraId="75FCB160" w14:textId="77777777" w:rsidTr="00D900EE">
        <w:trPr>
          <w:trHeight w:val="271"/>
        </w:trPr>
        <w:tc>
          <w:tcPr>
            <w:tcW w:w="831" w:type="pct"/>
            <w:tcBorders>
              <w:top w:val="single" w:sz="18" w:space="0" w:color="auto"/>
              <w:left w:val="nil"/>
              <w:bottom w:val="nil"/>
              <w:right w:val="nil"/>
            </w:tcBorders>
            <w:shd w:val="clear" w:color="auto" w:fill="auto"/>
            <w:tcMar>
              <w:top w:w="15" w:type="dxa"/>
              <w:left w:w="15" w:type="dxa"/>
              <w:bottom w:w="0" w:type="dxa"/>
              <w:right w:w="15" w:type="dxa"/>
            </w:tcMar>
            <w:vAlign w:val="bottom"/>
            <w:hideMark/>
          </w:tcPr>
          <w:p w14:paraId="0EEB32E4" w14:textId="77777777" w:rsidR="002D4260" w:rsidRPr="009B40F8" w:rsidRDefault="002D4260" w:rsidP="00D900EE">
            <w:pPr>
              <w:jc w:val="center"/>
              <w:rPr>
                <w:sz w:val="22"/>
                <w:szCs w:val="22"/>
              </w:rPr>
            </w:pPr>
          </w:p>
        </w:tc>
        <w:tc>
          <w:tcPr>
            <w:tcW w:w="673" w:type="pct"/>
            <w:gridSpan w:val="2"/>
            <w:vMerge w:val="restart"/>
            <w:tcBorders>
              <w:top w:val="single" w:sz="18" w:space="0" w:color="auto"/>
              <w:left w:val="nil"/>
              <w:bottom w:val="nil"/>
              <w:right w:val="nil"/>
            </w:tcBorders>
            <w:shd w:val="clear" w:color="auto" w:fill="auto"/>
            <w:tcMar>
              <w:top w:w="15" w:type="dxa"/>
              <w:left w:w="15" w:type="dxa"/>
              <w:bottom w:w="0" w:type="dxa"/>
              <w:right w:w="15" w:type="dxa"/>
            </w:tcMar>
            <w:vAlign w:val="center"/>
            <w:hideMark/>
          </w:tcPr>
          <w:p w14:paraId="700C0F45" w14:textId="77777777" w:rsidR="002D4260" w:rsidRPr="009B40F8" w:rsidRDefault="002D4260" w:rsidP="00D900EE">
            <w:pPr>
              <w:pStyle w:val="NoSpacing"/>
              <w:rPr>
                <w:sz w:val="22"/>
                <w:szCs w:val="22"/>
              </w:rPr>
            </w:pPr>
            <w:r w:rsidRPr="009B40F8">
              <w:rPr>
                <w:sz w:val="22"/>
                <w:szCs w:val="22"/>
              </w:rPr>
              <w:t>Academic Institutions</w:t>
            </w:r>
          </w:p>
        </w:tc>
        <w:tc>
          <w:tcPr>
            <w:tcW w:w="649" w:type="pct"/>
            <w:gridSpan w:val="2"/>
            <w:vMerge w:val="restart"/>
            <w:tcBorders>
              <w:top w:val="single" w:sz="18" w:space="0" w:color="auto"/>
              <w:left w:val="nil"/>
              <w:bottom w:val="nil"/>
              <w:right w:val="nil"/>
            </w:tcBorders>
            <w:shd w:val="clear" w:color="auto" w:fill="auto"/>
            <w:tcMar>
              <w:top w:w="15" w:type="dxa"/>
              <w:left w:w="15" w:type="dxa"/>
              <w:bottom w:w="0" w:type="dxa"/>
              <w:right w:w="15" w:type="dxa"/>
            </w:tcMar>
            <w:vAlign w:val="center"/>
            <w:hideMark/>
          </w:tcPr>
          <w:p w14:paraId="19B2BDFC" w14:textId="77777777" w:rsidR="002D4260" w:rsidRPr="009B40F8" w:rsidRDefault="002D4260" w:rsidP="00D900EE">
            <w:pPr>
              <w:pStyle w:val="NoSpacing"/>
              <w:rPr>
                <w:sz w:val="22"/>
                <w:szCs w:val="22"/>
              </w:rPr>
            </w:pPr>
            <w:r w:rsidRPr="009B40F8">
              <w:rPr>
                <w:sz w:val="22"/>
                <w:szCs w:val="22"/>
              </w:rPr>
              <w:t>Houses</w:t>
            </w:r>
          </w:p>
        </w:tc>
        <w:tc>
          <w:tcPr>
            <w:tcW w:w="769" w:type="pct"/>
            <w:gridSpan w:val="2"/>
            <w:vMerge w:val="restart"/>
            <w:tcBorders>
              <w:top w:val="single" w:sz="18" w:space="0" w:color="auto"/>
              <w:left w:val="nil"/>
              <w:bottom w:val="nil"/>
              <w:right w:val="nil"/>
            </w:tcBorders>
            <w:shd w:val="clear" w:color="auto" w:fill="auto"/>
            <w:tcMar>
              <w:top w:w="15" w:type="dxa"/>
              <w:left w:w="15" w:type="dxa"/>
              <w:bottom w:w="0" w:type="dxa"/>
              <w:right w:w="15" w:type="dxa"/>
            </w:tcMar>
            <w:vAlign w:val="center"/>
            <w:hideMark/>
          </w:tcPr>
          <w:p w14:paraId="792F2005" w14:textId="77777777" w:rsidR="002D4260" w:rsidRPr="009B40F8" w:rsidRDefault="002D4260" w:rsidP="00D900EE">
            <w:pPr>
              <w:pStyle w:val="NoSpacing"/>
              <w:rPr>
                <w:sz w:val="22"/>
                <w:szCs w:val="22"/>
              </w:rPr>
            </w:pPr>
            <w:r w:rsidRPr="009B40F8">
              <w:rPr>
                <w:sz w:val="22"/>
                <w:szCs w:val="22"/>
              </w:rPr>
              <w:t>Phone Conversations</w:t>
            </w:r>
          </w:p>
        </w:tc>
        <w:tc>
          <w:tcPr>
            <w:tcW w:w="674" w:type="pct"/>
            <w:gridSpan w:val="2"/>
            <w:vMerge w:val="restart"/>
            <w:tcBorders>
              <w:top w:val="single" w:sz="18" w:space="0" w:color="auto"/>
              <w:left w:val="nil"/>
              <w:bottom w:val="nil"/>
              <w:right w:val="nil"/>
            </w:tcBorders>
            <w:shd w:val="clear" w:color="auto" w:fill="auto"/>
            <w:tcMar>
              <w:top w:w="15" w:type="dxa"/>
              <w:left w:w="15" w:type="dxa"/>
              <w:bottom w:w="0" w:type="dxa"/>
              <w:right w:w="15" w:type="dxa"/>
            </w:tcMar>
            <w:vAlign w:val="center"/>
            <w:hideMark/>
          </w:tcPr>
          <w:p w14:paraId="1FEC57DB" w14:textId="77777777" w:rsidR="002D4260" w:rsidRPr="009B40F8" w:rsidRDefault="002D4260" w:rsidP="00D900EE">
            <w:pPr>
              <w:pStyle w:val="NoSpacing"/>
              <w:rPr>
                <w:sz w:val="22"/>
                <w:szCs w:val="22"/>
              </w:rPr>
            </w:pPr>
            <w:r w:rsidRPr="009B40F8">
              <w:rPr>
                <w:sz w:val="22"/>
                <w:szCs w:val="22"/>
              </w:rPr>
              <w:t>Religious Institutions</w:t>
            </w:r>
          </w:p>
        </w:tc>
        <w:tc>
          <w:tcPr>
            <w:tcW w:w="684" w:type="pct"/>
            <w:gridSpan w:val="2"/>
            <w:vMerge w:val="restart"/>
            <w:tcBorders>
              <w:top w:val="single" w:sz="18" w:space="0" w:color="auto"/>
              <w:left w:val="nil"/>
              <w:bottom w:val="nil"/>
              <w:right w:val="nil"/>
            </w:tcBorders>
            <w:shd w:val="clear" w:color="auto" w:fill="auto"/>
            <w:tcMar>
              <w:top w:w="15" w:type="dxa"/>
              <w:left w:w="15" w:type="dxa"/>
              <w:bottom w:w="0" w:type="dxa"/>
              <w:right w:w="15" w:type="dxa"/>
            </w:tcMar>
            <w:vAlign w:val="center"/>
            <w:hideMark/>
          </w:tcPr>
          <w:p w14:paraId="48F31FBC" w14:textId="77777777" w:rsidR="002D4260" w:rsidRPr="009B40F8" w:rsidRDefault="002D4260" w:rsidP="00D900EE">
            <w:pPr>
              <w:pStyle w:val="NoSpacing"/>
              <w:rPr>
                <w:sz w:val="22"/>
                <w:szCs w:val="22"/>
              </w:rPr>
            </w:pPr>
            <w:r w:rsidRPr="009B40F8">
              <w:rPr>
                <w:sz w:val="22"/>
                <w:szCs w:val="22"/>
              </w:rPr>
              <w:t>Restaurants</w:t>
            </w:r>
          </w:p>
        </w:tc>
        <w:tc>
          <w:tcPr>
            <w:tcW w:w="720" w:type="pct"/>
            <w:gridSpan w:val="2"/>
            <w:vMerge w:val="restart"/>
            <w:tcBorders>
              <w:top w:val="single" w:sz="18" w:space="0" w:color="auto"/>
              <w:left w:val="nil"/>
              <w:bottom w:val="nil"/>
              <w:right w:val="nil"/>
            </w:tcBorders>
            <w:shd w:val="clear" w:color="auto" w:fill="auto"/>
            <w:tcMar>
              <w:top w:w="15" w:type="dxa"/>
              <w:left w:w="15" w:type="dxa"/>
              <w:bottom w:w="0" w:type="dxa"/>
              <w:right w:w="15" w:type="dxa"/>
            </w:tcMar>
            <w:vAlign w:val="center"/>
            <w:hideMark/>
          </w:tcPr>
          <w:p w14:paraId="32154B76" w14:textId="77777777" w:rsidR="002D4260" w:rsidRPr="009B40F8" w:rsidRDefault="002D4260" w:rsidP="00D900EE">
            <w:pPr>
              <w:pStyle w:val="NoSpacing"/>
              <w:rPr>
                <w:sz w:val="22"/>
                <w:szCs w:val="22"/>
              </w:rPr>
            </w:pPr>
            <w:r w:rsidRPr="009B40F8">
              <w:rPr>
                <w:sz w:val="22"/>
                <w:szCs w:val="22"/>
              </w:rPr>
              <w:t>Total</w:t>
            </w:r>
          </w:p>
        </w:tc>
      </w:tr>
      <w:tr w:rsidR="002D4260" w:rsidRPr="009B40F8" w14:paraId="2FB4D869" w14:textId="77777777" w:rsidTr="00D900EE">
        <w:trPr>
          <w:trHeight w:val="271"/>
        </w:trPr>
        <w:tc>
          <w:tcPr>
            <w:tcW w:w="831" w:type="pct"/>
            <w:tcBorders>
              <w:top w:val="nil"/>
              <w:left w:val="nil"/>
              <w:bottom w:val="nil"/>
              <w:right w:val="nil"/>
            </w:tcBorders>
            <w:shd w:val="clear" w:color="auto" w:fill="auto"/>
            <w:tcMar>
              <w:top w:w="15" w:type="dxa"/>
              <w:left w:w="15" w:type="dxa"/>
              <w:bottom w:w="0" w:type="dxa"/>
              <w:right w:w="15" w:type="dxa"/>
            </w:tcMar>
            <w:vAlign w:val="center"/>
            <w:hideMark/>
          </w:tcPr>
          <w:p w14:paraId="7A2DA2F6" w14:textId="77777777" w:rsidR="002D4260" w:rsidRPr="009B40F8" w:rsidRDefault="002D4260" w:rsidP="00D900EE">
            <w:pPr>
              <w:jc w:val="center"/>
              <w:rPr>
                <w:sz w:val="22"/>
                <w:szCs w:val="22"/>
              </w:rPr>
            </w:pPr>
          </w:p>
        </w:tc>
        <w:tc>
          <w:tcPr>
            <w:tcW w:w="673" w:type="pct"/>
            <w:gridSpan w:val="2"/>
            <w:vMerge/>
            <w:tcBorders>
              <w:top w:val="nil"/>
              <w:left w:val="nil"/>
              <w:bottom w:val="nil"/>
              <w:right w:val="nil"/>
            </w:tcBorders>
            <w:vAlign w:val="center"/>
            <w:hideMark/>
          </w:tcPr>
          <w:p w14:paraId="43D1B792" w14:textId="77777777" w:rsidR="002D4260" w:rsidRPr="009B40F8" w:rsidRDefault="002D4260" w:rsidP="00D900EE">
            <w:pPr>
              <w:pStyle w:val="NoSpacing"/>
              <w:rPr>
                <w:sz w:val="22"/>
                <w:szCs w:val="22"/>
              </w:rPr>
            </w:pPr>
          </w:p>
        </w:tc>
        <w:tc>
          <w:tcPr>
            <w:tcW w:w="649" w:type="pct"/>
            <w:gridSpan w:val="2"/>
            <w:vMerge/>
            <w:tcBorders>
              <w:top w:val="nil"/>
              <w:left w:val="nil"/>
              <w:bottom w:val="nil"/>
              <w:right w:val="nil"/>
            </w:tcBorders>
            <w:vAlign w:val="center"/>
            <w:hideMark/>
          </w:tcPr>
          <w:p w14:paraId="5F7C2DC9" w14:textId="77777777" w:rsidR="002D4260" w:rsidRPr="009B40F8" w:rsidRDefault="002D4260" w:rsidP="00D900EE">
            <w:pPr>
              <w:pStyle w:val="NoSpacing"/>
              <w:rPr>
                <w:sz w:val="22"/>
                <w:szCs w:val="22"/>
              </w:rPr>
            </w:pPr>
          </w:p>
        </w:tc>
        <w:tc>
          <w:tcPr>
            <w:tcW w:w="769" w:type="pct"/>
            <w:gridSpan w:val="2"/>
            <w:vMerge/>
            <w:tcBorders>
              <w:top w:val="nil"/>
              <w:left w:val="nil"/>
              <w:bottom w:val="nil"/>
              <w:right w:val="nil"/>
            </w:tcBorders>
            <w:vAlign w:val="center"/>
            <w:hideMark/>
          </w:tcPr>
          <w:p w14:paraId="39F55861" w14:textId="77777777" w:rsidR="002D4260" w:rsidRPr="009B40F8" w:rsidRDefault="002D4260" w:rsidP="00D900EE">
            <w:pPr>
              <w:pStyle w:val="NoSpacing"/>
              <w:rPr>
                <w:sz w:val="22"/>
                <w:szCs w:val="22"/>
              </w:rPr>
            </w:pPr>
          </w:p>
        </w:tc>
        <w:tc>
          <w:tcPr>
            <w:tcW w:w="674" w:type="pct"/>
            <w:gridSpan w:val="2"/>
            <w:vMerge/>
            <w:tcBorders>
              <w:top w:val="nil"/>
              <w:left w:val="nil"/>
              <w:bottom w:val="nil"/>
              <w:right w:val="nil"/>
            </w:tcBorders>
            <w:vAlign w:val="center"/>
            <w:hideMark/>
          </w:tcPr>
          <w:p w14:paraId="144C4B58" w14:textId="77777777" w:rsidR="002D4260" w:rsidRPr="009B40F8" w:rsidRDefault="002D4260" w:rsidP="00D900EE">
            <w:pPr>
              <w:pStyle w:val="NoSpacing"/>
              <w:rPr>
                <w:sz w:val="22"/>
                <w:szCs w:val="22"/>
              </w:rPr>
            </w:pPr>
          </w:p>
        </w:tc>
        <w:tc>
          <w:tcPr>
            <w:tcW w:w="684" w:type="pct"/>
            <w:gridSpan w:val="2"/>
            <w:vMerge/>
            <w:tcBorders>
              <w:top w:val="nil"/>
              <w:left w:val="nil"/>
              <w:bottom w:val="nil"/>
              <w:right w:val="nil"/>
            </w:tcBorders>
            <w:vAlign w:val="center"/>
            <w:hideMark/>
          </w:tcPr>
          <w:p w14:paraId="4DF33B18" w14:textId="77777777" w:rsidR="002D4260" w:rsidRPr="009B40F8" w:rsidRDefault="002D4260" w:rsidP="00D900EE">
            <w:pPr>
              <w:pStyle w:val="NoSpacing"/>
              <w:rPr>
                <w:sz w:val="22"/>
                <w:szCs w:val="22"/>
              </w:rPr>
            </w:pPr>
          </w:p>
        </w:tc>
        <w:tc>
          <w:tcPr>
            <w:tcW w:w="720" w:type="pct"/>
            <w:gridSpan w:val="2"/>
            <w:vMerge/>
            <w:tcBorders>
              <w:top w:val="nil"/>
              <w:left w:val="nil"/>
              <w:bottom w:val="nil"/>
              <w:right w:val="nil"/>
            </w:tcBorders>
            <w:vAlign w:val="center"/>
            <w:hideMark/>
          </w:tcPr>
          <w:p w14:paraId="072EF68B" w14:textId="77777777" w:rsidR="002D4260" w:rsidRPr="009B40F8" w:rsidRDefault="002D4260" w:rsidP="00D900EE">
            <w:pPr>
              <w:pStyle w:val="NoSpacing"/>
              <w:rPr>
                <w:sz w:val="22"/>
                <w:szCs w:val="22"/>
              </w:rPr>
            </w:pPr>
          </w:p>
        </w:tc>
      </w:tr>
      <w:tr w:rsidR="002D4260" w:rsidRPr="009B40F8" w14:paraId="557AD240" w14:textId="77777777" w:rsidTr="00D900EE">
        <w:trPr>
          <w:trHeight w:val="271"/>
        </w:trPr>
        <w:tc>
          <w:tcPr>
            <w:tcW w:w="831"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47DF0A89" w14:textId="77777777" w:rsidR="002D4260" w:rsidRPr="009B40F8" w:rsidRDefault="002D4260" w:rsidP="00D900EE">
            <w:pPr>
              <w:jc w:val="center"/>
              <w:rPr>
                <w:sz w:val="22"/>
                <w:szCs w:val="22"/>
              </w:rPr>
            </w:pPr>
          </w:p>
        </w:tc>
        <w:tc>
          <w:tcPr>
            <w:tcW w:w="322"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52A4142B" w14:textId="77777777" w:rsidR="002D4260" w:rsidRPr="009B40F8" w:rsidRDefault="002D4260" w:rsidP="00D900EE">
            <w:pPr>
              <w:pStyle w:val="NoSpacing"/>
              <w:rPr>
                <w:sz w:val="22"/>
                <w:szCs w:val="22"/>
              </w:rPr>
            </w:pPr>
            <w:r w:rsidRPr="009B40F8">
              <w:rPr>
                <w:i/>
                <w:sz w:val="22"/>
                <w:szCs w:val="22"/>
              </w:rPr>
              <w:t>f</w:t>
            </w:r>
          </w:p>
        </w:tc>
        <w:tc>
          <w:tcPr>
            <w:tcW w:w="351"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7BA68CC2" w14:textId="77777777" w:rsidR="002D4260" w:rsidRPr="009B40F8" w:rsidRDefault="002D4260" w:rsidP="00D900EE">
            <w:pPr>
              <w:pStyle w:val="NoSpacing"/>
              <w:rPr>
                <w:sz w:val="22"/>
                <w:szCs w:val="22"/>
              </w:rPr>
            </w:pPr>
            <w:proofErr w:type="spellStart"/>
            <w:r w:rsidRPr="009B40F8">
              <w:rPr>
                <w:i/>
                <w:sz w:val="22"/>
                <w:szCs w:val="22"/>
              </w:rPr>
              <w:t>nf</w:t>
            </w:r>
            <w:proofErr w:type="spellEnd"/>
          </w:p>
        </w:tc>
        <w:tc>
          <w:tcPr>
            <w:tcW w:w="301"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3F72F832" w14:textId="77777777" w:rsidR="002D4260" w:rsidRPr="009B40F8" w:rsidRDefault="002D4260" w:rsidP="00D900EE">
            <w:pPr>
              <w:pStyle w:val="NoSpacing"/>
              <w:rPr>
                <w:sz w:val="22"/>
                <w:szCs w:val="22"/>
              </w:rPr>
            </w:pPr>
            <w:r w:rsidRPr="009B40F8">
              <w:rPr>
                <w:i/>
                <w:sz w:val="22"/>
                <w:szCs w:val="22"/>
              </w:rPr>
              <w:t>f</w:t>
            </w:r>
          </w:p>
        </w:tc>
        <w:tc>
          <w:tcPr>
            <w:tcW w:w="348"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38A86A9C" w14:textId="77777777" w:rsidR="002D4260" w:rsidRPr="009B40F8" w:rsidRDefault="002D4260" w:rsidP="00D900EE">
            <w:pPr>
              <w:pStyle w:val="NoSpacing"/>
              <w:rPr>
                <w:sz w:val="22"/>
                <w:szCs w:val="22"/>
              </w:rPr>
            </w:pPr>
            <w:proofErr w:type="spellStart"/>
            <w:r w:rsidRPr="009B40F8">
              <w:rPr>
                <w:i/>
                <w:sz w:val="22"/>
                <w:szCs w:val="22"/>
              </w:rPr>
              <w:t>nf</w:t>
            </w:r>
            <w:proofErr w:type="spellEnd"/>
          </w:p>
        </w:tc>
        <w:tc>
          <w:tcPr>
            <w:tcW w:w="348"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300EB159" w14:textId="77777777" w:rsidR="002D4260" w:rsidRPr="009B40F8" w:rsidRDefault="002D4260" w:rsidP="00D900EE">
            <w:pPr>
              <w:pStyle w:val="NoSpacing"/>
              <w:rPr>
                <w:sz w:val="22"/>
                <w:szCs w:val="22"/>
              </w:rPr>
            </w:pPr>
            <w:r w:rsidRPr="009B40F8">
              <w:rPr>
                <w:i/>
                <w:sz w:val="22"/>
                <w:szCs w:val="22"/>
              </w:rPr>
              <w:t>f</w:t>
            </w:r>
          </w:p>
        </w:tc>
        <w:tc>
          <w:tcPr>
            <w:tcW w:w="421"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3EB67288" w14:textId="77777777" w:rsidR="002D4260" w:rsidRPr="009B40F8" w:rsidRDefault="002D4260" w:rsidP="00D900EE">
            <w:pPr>
              <w:pStyle w:val="NoSpacing"/>
              <w:rPr>
                <w:sz w:val="22"/>
                <w:szCs w:val="22"/>
              </w:rPr>
            </w:pPr>
            <w:proofErr w:type="spellStart"/>
            <w:r w:rsidRPr="009B40F8">
              <w:rPr>
                <w:i/>
                <w:sz w:val="22"/>
                <w:szCs w:val="22"/>
              </w:rPr>
              <w:t>nf</w:t>
            </w:r>
            <w:proofErr w:type="spellEnd"/>
          </w:p>
        </w:tc>
        <w:tc>
          <w:tcPr>
            <w:tcW w:w="323"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7854A504" w14:textId="77777777" w:rsidR="002D4260" w:rsidRPr="009B40F8" w:rsidRDefault="002D4260" w:rsidP="00D900EE">
            <w:pPr>
              <w:pStyle w:val="NoSpacing"/>
              <w:rPr>
                <w:sz w:val="22"/>
                <w:szCs w:val="22"/>
              </w:rPr>
            </w:pPr>
            <w:r w:rsidRPr="009B40F8">
              <w:rPr>
                <w:i/>
                <w:sz w:val="22"/>
                <w:szCs w:val="22"/>
              </w:rPr>
              <w:t>f</w:t>
            </w:r>
          </w:p>
        </w:tc>
        <w:tc>
          <w:tcPr>
            <w:tcW w:w="351"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624B93F2" w14:textId="77777777" w:rsidR="002D4260" w:rsidRPr="009B40F8" w:rsidRDefault="002D4260" w:rsidP="00D900EE">
            <w:pPr>
              <w:pStyle w:val="NoSpacing"/>
              <w:rPr>
                <w:sz w:val="22"/>
                <w:szCs w:val="22"/>
              </w:rPr>
            </w:pPr>
            <w:proofErr w:type="spellStart"/>
            <w:r w:rsidRPr="009B40F8">
              <w:rPr>
                <w:i/>
                <w:sz w:val="22"/>
                <w:szCs w:val="22"/>
              </w:rPr>
              <w:t>nf</w:t>
            </w:r>
            <w:proofErr w:type="spellEnd"/>
          </w:p>
        </w:tc>
        <w:tc>
          <w:tcPr>
            <w:tcW w:w="334"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087790BF" w14:textId="77777777" w:rsidR="002D4260" w:rsidRPr="009B40F8" w:rsidRDefault="002D4260" w:rsidP="00D900EE">
            <w:pPr>
              <w:pStyle w:val="NoSpacing"/>
              <w:rPr>
                <w:sz w:val="22"/>
                <w:szCs w:val="22"/>
              </w:rPr>
            </w:pPr>
            <w:r w:rsidRPr="009B40F8">
              <w:rPr>
                <w:i/>
                <w:sz w:val="22"/>
                <w:szCs w:val="22"/>
              </w:rPr>
              <w:t>f</w:t>
            </w:r>
          </w:p>
        </w:tc>
        <w:tc>
          <w:tcPr>
            <w:tcW w:w="350"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6DF89D17" w14:textId="77777777" w:rsidR="002D4260" w:rsidRPr="009B40F8" w:rsidRDefault="002D4260" w:rsidP="00D900EE">
            <w:pPr>
              <w:pStyle w:val="NoSpacing"/>
              <w:rPr>
                <w:sz w:val="22"/>
                <w:szCs w:val="22"/>
              </w:rPr>
            </w:pPr>
            <w:proofErr w:type="spellStart"/>
            <w:r w:rsidRPr="009B40F8">
              <w:rPr>
                <w:i/>
                <w:sz w:val="22"/>
                <w:szCs w:val="22"/>
              </w:rPr>
              <w:t>nf</w:t>
            </w:r>
            <w:proofErr w:type="spellEnd"/>
          </w:p>
        </w:tc>
        <w:tc>
          <w:tcPr>
            <w:tcW w:w="324"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75AF73EA" w14:textId="77777777" w:rsidR="002D4260" w:rsidRPr="009B40F8" w:rsidRDefault="002D4260" w:rsidP="00D900EE">
            <w:pPr>
              <w:pStyle w:val="NoSpacing"/>
              <w:rPr>
                <w:sz w:val="22"/>
                <w:szCs w:val="22"/>
              </w:rPr>
            </w:pPr>
            <w:r w:rsidRPr="009B40F8">
              <w:rPr>
                <w:i/>
                <w:sz w:val="22"/>
                <w:szCs w:val="22"/>
              </w:rPr>
              <w:t>f</w:t>
            </w:r>
          </w:p>
        </w:tc>
        <w:tc>
          <w:tcPr>
            <w:tcW w:w="396" w:type="pct"/>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14:paraId="66FEBBE3" w14:textId="77777777" w:rsidR="002D4260" w:rsidRPr="009B40F8" w:rsidRDefault="002D4260" w:rsidP="00D900EE">
            <w:pPr>
              <w:pStyle w:val="NoSpacing"/>
              <w:rPr>
                <w:sz w:val="22"/>
                <w:szCs w:val="22"/>
              </w:rPr>
            </w:pPr>
            <w:proofErr w:type="spellStart"/>
            <w:r w:rsidRPr="009B40F8">
              <w:rPr>
                <w:i/>
                <w:sz w:val="22"/>
                <w:szCs w:val="22"/>
              </w:rPr>
              <w:t>nf</w:t>
            </w:r>
            <w:proofErr w:type="spellEnd"/>
          </w:p>
        </w:tc>
      </w:tr>
      <w:tr w:rsidR="002D4260" w:rsidRPr="009B40F8" w14:paraId="3C1A2D79" w14:textId="77777777" w:rsidTr="00D900EE">
        <w:trPr>
          <w:trHeight w:val="288"/>
        </w:trPr>
        <w:tc>
          <w:tcPr>
            <w:tcW w:w="831" w:type="pct"/>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14:paraId="63E0B278" w14:textId="77777777" w:rsidR="002D4260" w:rsidRPr="009B40F8" w:rsidRDefault="002D4260" w:rsidP="00D900EE">
            <w:pPr>
              <w:pStyle w:val="NoSpacing"/>
              <w:rPr>
                <w:b w:val="0"/>
                <w:sz w:val="22"/>
                <w:szCs w:val="22"/>
              </w:rPr>
            </w:pPr>
            <w:r w:rsidRPr="009B40F8">
              <w:rPr>
                <w:b w:val="0"/>
                <w:sz w:val="22"/>
                <w:szCs w:val="22"/>
              </w:rPr>
              <w:t>Morphological</w:t>
            </w:r>
          </w:p>
        </w:tc>
        <w:tc>
          <w:tcPr>
            <w:tcW w:w="322" w:type="pct"/>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3E2BA1E6" w14:textId="77777777" w:rsidR="002D4260" w:rsidRPr="009B40F8" w:rsidRDefault="002D4260" w:rsidP="00D900EE">
            <w:pPr>
              <w:pStyle w:val="NoSpacing"/>
              <w:rPr>
                <w:b w:val="0"/>
                <w:sz w:val="22"/>
                <w:szCs w:val="22"/>
              </w:rPr>
            </w:pPr>
            <w:r w:rsidRPr="009B40F8">
              <w:rPr>
                <w:b w:val="0"/>
                <w:sz w:val="22"/>
                <w:szCs w:val="22"/>
              </w:rPr>
              <w:t>1</w:t>
            </w:r>
          </w:p>
        </w:tc>
        <w:tc>
          <w:tcPr>
            <w:tcW w:w="351" w:type="pct"/>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2AEEDB82" w14:textId="77777777" w:rsidR="002D4260" w:rsidRPr="009B40F8" w:rsidRDefault="002D4260" w:rsidP="00D900EE">
            <w:pPr>
              <w:pStyle w:val="NoSpacing"/>
              <w:rPr>
                <w:b w:val="0"/>
                <w:sz w:val="22"/>
                <w:szCs w:val="22"/>
              </w:rPr>
            </w:pPr>
            <w:r w:rsidRPr="009B40F8">
              <w:rPr>
                <w:b w:val="0"/>
                <w:sz w:val="22"/>
                <w:szCs w:val="22"/>
                <w:lang w:val="is-IS"/>
              </w:rPr>
              <w:t>100</w:t>
            </w:r>
          </w:p>
        </w:tc>
        <w:tc>
          <w:tcPr>
            <w:tcW w:w="301" w:type="pct"/>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2867D3BC" w14:textId="77777777" w:rsidR="002D4260" w:rsidRPr="009B40F8" w:rsidRDefault="002D4260" w:rsidP="00D900EE">
            <w:pPr>
              <w:pStyle w:val="NoSpacing"/>
              <w:rPr>
                <w:b w:val="0"/>
                <w:sz w:val="22"/>
                <w:szCs w:val="22"/>
              </w:rPr>
            </w:pPr>
            <w:r w:rsidRPr="009B40F8">
              <w:rPr>
                <w:b w:val="0"/>
                <w:sz w:val="22"/>
                <w:szCs w:val="22"/>
              </w:rPr>
              <w:t>7</w:t>
            </w:r>
          </w:p>
        </w:tc>
        <w:tc>
          <w:tcPr>
            <w:tcW w:w="348" w:type="pct"/>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32328E0B" w14:textId="77777777" w:rsidR="002D4260" w:rsidRPr="009B40F8" w:rsidRDefault="002D4260" w:rsidP="00D900EE">
            <w:pPr>
              <w:pStyle w:val="NoSpacing"/>
              <w:rPr>
                <w:b w:val="0"/>
                <w:sz w:val="22"/>
                <w:szCs w:val="22"/>
              </w:rPr>
            </w:pPr>
            <w:r w:rsidRPr="009B40F8">
              <w:rPr>
                <w:b w:val="0"/>
                <w:sz w:val="22"/>
                <w:szCs w:val="22"/>
                <w:lang w:val="is-IS"/>
              </w:rPr>
              <w:t>500</w:t>
            </w:r>
          </w:p>
        </w:tc>
        <w:tc>
          <w:tcPr>
            <w:tcW w:w="348" w:type="pct"/>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587FFF0E" w14:textId="77777777" w:rsidR="002D4260" w:rsidRPr="009B40F8" w:rsidRDefault="002D4260" w:rsidP="00D900EE">
            <w:pPr>
              <w:pStyle w:val="NoSpacing"/>
              <w:rPr>
                <w:b w:val="0"/>
                <w:sz w:val="22"/>
                <w:szCs w:val="22"/>
              </w:rPr>
            </w:pPr>
            <w:r w:rsidRPr="009B40F8">
              <w:rPr>
                <w:b w:val="0"/>
                <w:sz w:val="22"/>
                <w:szCs w:val="22"/>
              </w:rPr>
              <w:t>3</w:t>
            </w:r>
          </w:p>
        </w:tc>
        <w:tc>
          <w:tcPr>
            <w:tcW w:w="421" w:type="pct"/>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4168ABBB" w14:textId="77777777" w:rsidR="002D4260" w:rsidRPr="009B40F8" w:rsidRDefault="002D4260" w:rsidP="00D900EE">
            <w:pPr>
              <w:pStyle w:val="NoSpacing"/>
              <w:rPr>
                <w:b w:val="0"/>
                <w:sz w:val="22"/>
                <w:szCs w:val="22"/>
              </w:rPr>
            </w:pPr>
            <w:r w:rsidRPr="009B40F8">
              <w:rPr>
                <w:b w:val="0"/>
                <w:sz w:val="22"/>
                <w:szCs w:val="22"/>
                <w:lang w:val="is-IS"/>
              </w:rPr>
              <w:t>300</w:t>
            </w:r>
          </w:p>
        </w:tc>
        <w:tc>
          <w:tcPr>
            <w:tcW w:w="323" w:type="pct"/>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6790F122" w14:textId="77777777" w:rsidR="002D4260" w:rsidRPr="009B40F8" w:rsidRDefault="002D4260" w:rsidP="00D900EE">
            <w:pPr>
              <w:pStyle w:val="NoSpacing"/>
              <w:rPr>
                <w:b w:val="0"/>
                <w:sz w:val="22"/>
                <w:szCs w:val="22"/>
              </w:rPr>
            </w:pPr>
            <w:r w:rsidRPr="009B40F8">
              <w:rPr>
                <w:b w:val="0"/>
                <w:sz w:val="22"/>
                <w:szCs w:val="22"/>
                <w:lang w:val="is-IS"/>
              </w:rPr>
              <w:t>2</w:t>
            </w:r>
          </w:p>
        </w:tc>
        <w:tc>
          <w:tcPr>
            <w:tcW w:w="351" w:type="pct"/>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3E7F9B24" w14:textId="77777777" w:rsidR="002D4260" w:rsidRPr="009B40F8" w:rsidRDefault="002D4260" w:rsidP="00D900EE">
            <w:pPr>
              <w:pStyle w:val="NoSpacing"/>
              <w:rPr>
                <w:b w:val="0"/>
                <w:sz w:val="22"/>
                <w:szCs w:val="22"/>
              </w:rPr>
            </w:pPr>
            <w:r w:rsidRPr="009B40F8">
              <w:rPr>
                <w:b w:val="0"/>
                <w:sz w:val="22"/>
                <w:szCs w:val="22"/>
                <w:lang w:val="is-IS"/>
              </w:rPr>
              <w:t>200</w:t>
            </w:r>
          </w:p>
        </w:tc>
        <w:tc>
          <w:tcPr>
            <w:tcW w:w="334" w:type="pct"/>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406F7C3C" w14:textId="77777777" w:rsidR="002D4260" w:rsidRPr="009B40F8" w:rsidRDefault="002D4260" w:rsidP="00D900EE">
            <w:pPr>
              <w:pStyle w:val="NoSpacing"/>
              <w:rPr>
                <w:b w:val="0"/>
                <w:sz w:val="22"/>
                <w:szCs w:val="22"/>
              </w:rPr>
            </w:pPr>
            <w:r w:rsidRPr="009B40F8">
              <w:rPr>
                <w:b w:val="0"/>
                <w:sz w:val="22"/>
                <w:szCs w:val="22"/>
                <w:lang w:val="is-IS"/>
              </w:rPr>
              <w:t>2</w:t>
            </w:r>
          </w:p>
        </w:tc>
        <w:tc>
          <w:tcPr>
            <w:tcW w:w="350" w:type="pct"/>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0FFDE091" w14:textId="77777777" w:rsidR="002D4260" w:rsidRPr="009B40F8" w:rsidRDefault="002D4260" w:rsidP="00D900EE">
            <w:pPr>
              <w:pStyle w:val="NoSpacing"/>
              <w:rPr>
                <w:b w:val="0"/>
                <w:sz w:val="22"/>
                <w:szCs w:val="22"/>
              </w:rPr>
            </w:pPr>
            <w:r w:rsidRPr="009B40F8">
              <w:rPr>
                <w:b w:val="0"/>
                <w:sz w:val="22"/>
                <w:szCs w:val="22"/>
                <w:lang w:val="is-IS"/>
              </w:rPr>
              <w:t>100</w:t>
            </w:r>
          </w:p>
        </w:tc>
        <w:tc>
          <w:tcPr>
            <w:tcW w:w="324" w:type="pct"/>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199CDB31" w14:textId="77777777" w:rsidR="002D4260" w:rsidRPr="009B40F8" w:rsidRDefault="002D4260" w:rsidP="00D900EE">
            <w:pPr>
              <w:pStyle w:val="NoSpacing"/>
              <w:rPr>
                <w:b w:val="0"/>
                <w:sz w:val="22"/>
                <w:szCs w:val="22"/>
              </w:rPr>
            </w:pPr>
            <w:r w:rsidRPr="009B40F8">
              <w:rPr>
                <w:b w:val="0"/>
                <w:sz w:val="22"/>
                <w:szCs w:val="22"/>
              </w:rPr>
              <w:t>15</w:t>
            </w:r>
          </w:p>
        </w:tc>
        <w:tc>
          <w:tcPr>
            <w:tcW w:w="396" w:type="pct"/>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3191A957" w14:textId="77777777" w:rsidR="002D4260" w:rsidRPr="009B40F8" w:rsidRDefault="002D4260" w:rsidP="00D900EE">
            <w:pPr>
              <w:pStyle w:val="NoSpacing"/>
              <w:rPr>
                <w:b w:val="0"/>
                <w:sz w:val="22"/>
                <w:szCs w:val="22"/>
              </w:rPr>
            </w:pPr>
            <w:r w:rsidRPr="009B40F8">
              <w:rPr>
                <w:b w:val="0"/>
                <w:sz w:val="22"/>
                <w:szCs w:val="22"/>
                <w:lang w:val="is-IS"/>
              </w:rPr>
              <w:t>1200</w:t>
            </w:r>
          </w:p>
        </w:tc>
      </w:tr>
      <w:tr w:rsidR="002D4260" w:rsidRPr="009B40F8" w14:paraId="19B73A47" w14:textId="77777777" w:rsidTr="00D900EE">
        <w:trPr>
          <w:trHeight w:val="288"/>
        </w:trPr>
        <w:tc>
          <w:tcPr>
            <w:tcW w:w="831" w:type="pct"/>
            <w:tcBorders>
              <w:top w:val="nil"/>
              <w:left w:val="nil"/>
              <w:bottom w:val="nil"/>
              <w:right w:val="nil"/>
            </w:tcBorders>
            <w:shd w:val="clear" w:color="auto" w:fill="auto"/>
            <w:tcMar>
              <w:top w:w="15" w:type="dxa"/>
              <w:left w:w="15" w:type="dxa"/>
              <w:bottom w:w="0" w:type="dxa"/>
              <w:right w:w="15" w:type="dxa"/>
            </w:tcMar>
            <w:vAlign w:val="center"/>
            <w:hideMark/>
          </w:tcPr>
          <w:p w14:paraId="534F3DA4" w14:textId="77777777" w:rsidR="002D4260" w:rsidRPr="009B40F8" w:rsidRDefault="002D4260" w:rsidP="00D900EE">
            <w:pPr>
              <w:pStyle w:val="NoSpacing"/>
              <w:rPr>
                <w:b w:val="0"/>
                <w:sz w:val="22"/>
                <w:szCs w:val="22"/>
              </w:rPr>
            </w:pPr>
            <w:r w:rsidRPr="009B40F8">
              <w:rPr>
                <w:b w:val="0"/>
                <w:sz w:val="22"/>
                <w:szCs w:val="22"/>
              </w:rPr>
              <w:t>Word/Lexical</w:t>
            </w:r>
          </w:p>
        </w:tc>
        <w:tc>
          <w:tcPr>
            <w:tcW w:w="322" w:type="pct"/>
            <w:tcBorders>
              <w:top w:val="nil"/>
              <w:left w:val="nil"/>
              <w:bottom w:val="nil"/>
              <w:right w:val="nil"/>
            </w:tcBorders>
            <w:shd w:val="clear" w:color="auto" w:fill="auto"/>
            <w:tcMar>
              <w:top w:w="15" w:type="dxa"/>
              <w:left w:w="15" w:type="dxa"/>
              <w:bottom w:w="0" w:type="dxa"/>
              <w:right w:w="15" w:type="dxa"/>
            </w:tcMar>
            <w:vAlign w:val="bottom"/>
            <w:hideMark/>
          </w:tcPr>
          <w:p w14:paraId="21FCAFBF" w14:textId="77777777" w:rsidR="002D4260" w:rsidRPr="009B40F8" w:rsidRDefault="002D4260" w:rsidP="00D900EE">
            <w:pPr>
              <w:pStyle w:val="NoSpacing"/>
              <w:rPr>
                <w:b w:val="0"/>
                <w:sz w:val="22"/>
                <w:szCs w:val="22"/>
              </w:rPr>
            </w:pPr>
            <w:r w:rsidRPr="009B40F8">
              <w:rPr>
                <w:b w:val="0"/>
                <w:sz w:val="22"/>
                <w:szCs w:val="22"/>
                <w:lang w:val="fi-FI"/>
              </w:rPr>
              <w:t>186</w:t>
            </w:r>
          </w:p>
        </w:tc>
        <w:tc>
          <w:tcPr>
            <w:tcW w:w="351" w:type="pct"/>
            <w:tcBorders>
              <w:top w:val="nil"/>
              <w:left w:val="nil"/>
              <w:bottom w:val="nil"/>
              <w:right w:val="nil"/>
            </w:tcBorders>
            <w:shd w:val="clear" w:color="auto" w:fill="auto"/>
            <w:tcMar>
              <w:top w:w="15" w:type="dxa"/>
              <w:left w:w="15" w:type="dxa"/>
              <w:bottom w:w="0" w:type="dxa"/>
              <w:right w:w="15" w:type="dxa"/>
            </w:tcMar>
            <w:vAlign w:val="bottom"/>
            <w:hideMark/>
          </w:tcPr>
          <w:p w14:paraId="75EEECD4" w14:textId="77777777" w:rsidR="002D4260" w:rsidRPr="009B40F8" w:rsidRDefault="002D4260" w:rsidP="00D900EE">
            <w:pPr>
              <w:pStyle w:val="NoSpacing"/>
              <w:rPr>
                <w:b w:val="0"/>
                <w:sz w:val="22"/>
                <w:szCs w:val="22"/>
              </w:rPr>
            </w:pPr>
            <w:r w:rsidRPr="009B40F8">
              <w:rPr>
                <w:b w:val="0"/>
                <w:sz w:val="22"/>
                <w:szCs w:val="22"/>
              </w:rPr>
              <w:t>18100</w:t>
            </w:r>
          </w:p>
        </w:tc>
        <w:tc>
          <w:tcPr>
            <w:tcW w:w="301" w:type="pct"/>
            <w:tcBorders>
              <w:top w:val="nil"/>
              <w:left w:val="nil"/>
              <w:bottom w:val="nil"/>
              <w:right w:val="nil"/>
            </w:tcBorders>
            <w:shd w:val="clear" w:color="auto" w:fill="auto"/>
            <w:tcMar>
              <w:top w:w="15" w:type="dxa"/>
              <w:left w:w="15" w:type="dxa"/>
              <w:bottom w:w="0" w:type="dxa"/>
              <w:right w:w="15" w:type="dxa"/>
            </w:tcMar>
            <w:vAlign w:val="bottom"/>
            <w:hideMark/>
          </w:tcPr>
          <w:p w14:paraId="6A0074ED" w14:textId="77777777" w:rsidR="002D4260" w:rsidRPr="009B40F8" w:rsidRDefault="002D4260" w:rsidP="00D900EE">
            <w:pPr>
              <w:pStyle w:val="NoSpacing"/>
              <w:rPr>
                <w:b w:val="0"/>
                <w:sz w:val="22"/>
                <w:szCs w:val="22"/>
              </w:rPr>
            </w:pPr>
            <w:r w:rsidRPr="009B40F8">
              <w:rPr>
                <w:b w:val="0"/>
                <w:sz w:val="22"/>
                <w:szCs w:val="22"/>
                <w:lang w:val="is-IS"/>
              </w:rPr>
              <w:t>400</w:t>
            </w:r>
          </w:p>
        </w:tc>
        <w:tc>
          <w:tcPr>
            <w:tcW w:w="348" w:type="pct"/>
            <w:tcBorders>
              <w:top w:val="nil"/>
              <w:left w:val="nil"/>
              <w:bottom w:val="nil"/>
              <w:right w:val="nil"/>
            </w:tcBorders>
            <w:shd w:val="clear" w:color="auto" w:fill="auto"/>
            <w:tcMar>
              <w:top w:w="15" w:type="dxa"/>
              <w:left w:w="15" w:type="dxa"/>
              <w:bottom w:w="0" w:type="dxa"/>
              <w:right w:w="15" w:type="dxa"/>
            </w:tcMar>
            <w:vAlign w:val="bottom"/>
            <w:hideMark/>
          </w:tcPr>
          <w:p w14:paraId="2E92A84D" w14:textId="77777777" w:rsidR="002D4260" w:rsidRPr="009B40F8" w:rsidRDefault="002D4260" w:rsidP="00D900EE">
            <w:pPr>
              <w:pStyle w:val="NoSpacing"/>
              <w:rPr>
                <w:b w:val="0"/>
                <w:sz w:val="22"/>
                <w:szCs w:val="22"/>
              </w:rPr>
            </w:pPr>
            <w:r w:rsidRPr="009B40F8">
              <w:rPr>
                <w:b w:val="0"/>
                <w:sz w:val="22"/>
                <w:szCs w:val="22"/>
                <w:lang w:val="is-IS"/>
              </w:rPr>
              <w:t>29500</w:t>
            </w:r>
          </w:p>
        </w:tc>
        <w:tc>
          <w:tcPr>
            <w:tcW w:w="348" w:type="pct"/>
            <w:tcBorders>
              <w:top w:val="nil"/>
              <w:left w:val="nil"/>
              <w:bottom w:val="nil"/>
              <w:right w:val="nil"/>
            </w:tcBorders>
            <w:shd w:val="clear" w:color="auto" w:fill="auto"/>
            <w:tcMar>
              <w:top w:w="15" w:type="dxa"/>
              <w:left w:w="15" w:type="dxa"/>
              <w:bottom w:w="0" w:type="dxa"/>
              <w:right w:w="15" w:type="dxa"/>
            </w:tcMar>
            <w:vAlign w:val="bottom"/>
            <w:hideMark/>
          </w:tcPr>
          <w:p w14:paraId="4B4F63A5" w14:textId="77777777" w:rsidR="002D4260" w:rsidRPr="009B40F8" w:rsidRDefault="002D4260" w:rsidP="00D900EE">
            <w:pPr>
              <w:pStyle w:val="NoSpacing"/>
              <w:rPr>
                <w:b w:val="0"/>
                <w:sz w:val="22"/>
                <w:szCs w:val="22"/>
              </w:rPr>
            </w:pPr>
            <w:r w:rsidRPr="009B40F8">
              <w:rPr>
                <w:b w:val="0"/>
                <w:sz w:val="22"/>
                <w:szCs w:val="22"/>
                <w:lang w:val="is-IS"/>
              </w:rPr>
              <w:t>138</w:t>
            </w:r>
          </w:p>
        </w:tc>
        <w:tc>
          <w:tcPr>
            <w:tcW w:w="421" w:type="pct"/>
            <w:tcBorders>
              <w:top w:val="nil"/>
              <w:left w:val="nil"/>
              <w:bottom w:val="nil"/>
              <w:right w:val="nil"/>
            </w:tcBorders>
            <w:shd w:val="clear" w:color="auto" w:fill="auto"/>
            <w:tcMar>
              <w:top w:w="15" w:type="dxa"/>
              <w:left w:w="15" w:type="dxa"/>
              <w:bottom w:w="0" w:type="dxa"/>
              <w:right w:w="15" w:type="dxa"/>
            </w:tcMar>
            <w:vAlign w:val="bottom"/>
            <w:hideMark/>
          </w:tcPr>
          <w:p w14:paraId="3FAE8A55" w14:textId="77777777" w:rsidR="002D4260" w:rsidRPr="009B40F8" w:rsidRDefault="002D4260" w:rsidP="00D900EE">
            <w:pPr>
              <w:pStyle w:val="NoSpacing"/>
              <w:rPr>
                <w:b w:val="0"/>
                <w:sz w:val="22"/>
                <w:szCs w:val="22"/>
              </w:rPr>
            </w:pPr>
            <w:r w:rsidRPr="009B40F8">
              <w:rPr>
                <w:b w:val="0"/>
                <w:sz w:val="22"/>
                <w:szCs w:val="22"/>
                <w:lang w:val="is-IS"/>
              </w:rPr>
              <w:t>16100</w:t>
            </w:r>
          </w:p>
        </w:tc>
        <w:tc>
          <w:tcPr>
            <w:tcW w:w="323" w:type="pct"/>
            <w:tcBorders>
              <w:top w:val="nil"/>
              <w:left w:val="nil"/>
              <w:bottom w:val="nil"/>
              <w:right w:val="nil"/>
            </w:tcBorders>
            <w:shd w:val="clear" w:color="auto" w:fill="auto"/>
            <w:tcMar>
              <w:top w:w="15" w:type="dxa"/>
              <w:left w:w="15" w:type="dxa"/>
              <w:bottom w:w="0" w:type="dxa"/>
              <w:right w:w="15" w:type="dxa"/>
            </w:tcMar>
            <w:vAlign w:val="bottom"/>
            <w:hideMark/>
          </w:tcPr>
          <w:p w14:paraId="25FDAD1B" w14:textId="77777777" w:rsidR="002D4260" w:rsidRPr="009B40F8" w:rsidRDefault="002D4260" w:rsidP="00D900EE">
            <w:pPr>
              <w:pStyle w:val="NoSpacing"/>
              <w:rPr>
                <w:b w:val="0"/>
                <w:sz w:val="22"/>
                <w:szCs w:val="22"/>
              </w:rPr>
            </w:pPr>
            <w:r w:rsidRPr="009B40F8">
              <w:rPr>
                <w:b w:val="0"/>
                <w:sz w:val="22"/>
                <w:szCs w:val="22"/>
                <w:lang w:val="is-IS"/>
              </w:rPr>
              <w:t>203</w:t>
            </w:r>
          </w:p>
        </w:tc>
        <w:tc>
          <w:tcPr>
            <w:tcW w:w="351" w:type="pct"/>
            <w:tcBorders>
              <w:top w:val="nil"/>
              <w:left w:val="nil"/>
              <w:bottom w:val="nil"/>
              <w:right w:val="nil"/>
            </w:tcBorders>
            <w:shd w:val="clear" w:color="auto" w:fill="auto"/>
            <w:tcMar>
              <w:top w:w="15" w:type="dxa"/>
              <w:left w:w="15" w:type="dxa"/>
              <w:bottom w:w="0" w:type="dxa"/>
              <w:right w:w="15" w:type="dxa"/>
            </w:tcMar>
            <w:vAlign w:val="bottom"/>
            <w:hideMark/>
          </w:tcPr>
          <w:p w14:paraId="0FE6B090" w14:textId="77777777" w:rsidR="002D4260" w:rsidRPr="009B40F8" w:rsidRDefault="002D4260" w:rsidP="00D900EE">
            <w:pPr>
              <w:pStyle w:val="NoSpacing"/>
              <w:rPr>
                <w:b w:val="0"/>
                <w:sz w:val="22"/>
                <w:szCs w:val="22"/>
              </w:rPr>
            </w:pPr>
            <w:r w:rsidRPr="009B40F8">
              <w:rPr>
                <w:b w:val="0"/>
                <w:sz w:val="22"/>
                <w:szCs w:val="22"/>
                <w:lang w:val="is-IS"/>
              </w:rPr>
              <w:t>15500</w:t>
            </w:r>
          </w:p>
        </w:tc>
        <w:tc>
          <w:tcPr>
            <w:tcW w:w="334" w:type="pct"/>
            <w:tcBorders>
              <w:top w:val="nil"/>
              <w:left w:val="nil"/>
              <w:bottom w:val="nil"/>
              <w:right w:val="nil"/>
            </w:tcBorders>
            <w:shd w:val="clear" w:color="auto" w:fill="auto"/>
            <w:tcMar>
              <w:top w:w="15" w:type="dxa"/>
              <w:left w:w="15" w:type="dxa"/>
              <w:bottom w:w="0" w:type="dxa"/>
              <w:right w:w="15" w:type="dxa"/>
            </w:tcMar>
            <w:vAlign w:val="bottom"/>
            <w:hideMark/>
          </w:tcPr>
          <w:p w14:paraId="2010504B" w14:textId="77777777" w:rsidR="002D4260" w:rsidRPr="009B40F8" w:rsidRDefault="002D4260" w:rsidP="00D900EE">
            <w:pPr>
              <w:pStyle w:val="NoSpacing"/>
              <w:rPr>
                <w:b w:val="0"/>
                <w:sz w:val="22"/>
                <w:szCs w:val="22"/>
              </w:rPr>
            </w:pPr>
            <w:r w:rsidRPr="009B40F8">
              <w:rPr>
                <w:b w:val="0"/>
                <w:sz w:val="22"/>
                <w:szCs w:val="22"/>
                <w:lang w:val="is-IS"/>
              </w:rPr>
              <w:t>332</w:t>
            </w:r>
          </w:p>
        </w:tc>
        <w:tc>
          <w:tcPr>
            <w:tcW w:w="350" w:type="pct"/>
            <w:tcBorders>
              <w:top w:val="nil"/>
              <w:left w:val="nil"/>
              <w:bottom w:val="nil"/>
              <w:right w:val="nil"/>
            </w:tcBorders>
            <w:shd w:val="clear" w:color="auto" w:fill="auto"/>
            <w:tcMar>
              <w:top w:w="15" w:type="dxa"/>
              <w:left w:w="15" w:type="dxa"/>
              <w:bottom w:w="0" w:type="dxa"/>
              <w:right w:w="15" w:type="dxa"/>
            </w:tcMar>
            <w:vAlign w:val="bottom"/>
            <w:hideMark/>
          </w:tcPr>
          <w:p w14:paraId="2CE507C4" w14:textId="77777777" w:rsidR="002D4260" w:rsidRPr="009B40F8" w:rsidRDefault="002D4260" w:rsidP="00D900EE">
            <w:pPr>
              <w:pStyle w:val="NoSpacing"/>
              <w:rPr>
                <w:b w:val="0"/>
                <w:sz w:val="22"/>
                <w:szCs w:val="22"/>
              </w:rPr>
            </w:pPr>
            <w:r w:rsidRPr="009B40F8">
              <w:rPr>
                <w:b w:val="0"/>
                <w:sz w:val="22"/>
                <w:szCs w:val="22"/>
                <w:lang w:val="is-IS"/>
              </w:rPr>
              <w:t>24300</w:t>
            </w:r>
          </w:p>
        </w:tc>
        <w:tc>
          <w:tcPr>
            <w:tcW w:w="324" w:type="pct"/>
            <w:tcBorders>
              <w:top w:val="nil"/>
              <w:left w:val="nil"/>
              <w:bottom w:val="nil"/>
              <w:right w:val="nil"/>
            </w:tcBorders>
            <w:shd w:val="clear" w:color="auto" w:fill="auto"/>
            <w:tcMar>
              <w:top w:w="15" w:type="dxa"/>
              <w:left w:w="15" w:type="dxa"/>
              <w:bottom w:w="0" w:type="dxa"/>
              <w:right w:w="15" w:type="dxa"/>
            </w:tcMar>
            <w:vAlign w:val="bottom"/>
            <w:hideMark/>
          </w:tcPr>
          <w:p w14:paraId="6967BEB8" w14:textId="77777777" w:rsidR="002D4260" w:rsidRPr="009B40F8" w:rsidRDefault="002D4260" w:rsidP="00D900EE">
            <w:pPr>
              <w:pStyle w:val="NoSpacing"/>
              <w:rPr>
                <w:b w:val="0"/>
                <w:sz w:val="22"/>
                <w:szCs w:val="22"/>
              </w:rPr>
            </w:pPr>
            <w:r w:rsidRPr="009B40F8">
              <w:rPr>
                <w:b w:val="0"/>
                <w:sz w:val="22"/>
                <w:szCs w:val="22"/>
                <w:lang w:val="is-IS"/>
              </w:rPr>
              <w:t>1259</w:t>
            </w:r>
          </w:p>
        </w:tc>
        <w:tc>
          <w:tcPr>
            <w:tcW w:w="396" w:type="pct"/>
            <w:tcBorders>
              <w:top w:val="nil"/>
              <w:left w:val="nil"/>
              <w:bottom w:val="nil"/>
              <w:right w:val="nil"/>
            </w:tcBorders>
            <w:shd w:val="clear" w:color="auto" w:fill="auto"/>
            <w:tcMar>
              <w:top w:w="15" w:type="dxa"/>
              <w:left w:w="15" w:type="dxa"/>
              <w:bottom w:w="0" w:type="dxa"/>
              <w:right w:w="15" w:type="dxa"/>
            </w:tcMar>
            <w:vAlign w:val="bottom"/>
            <w:hideMark/>
          </w:tcPr>
          <w:p w14:paraId="4C0C94DA" w14:textId="77777777" w:rsidR="002D4260" w:rsidRPr="009B40F8" w:rsidRDefault="002D4260" w:rsidP="00D900EE">
            <w:pPr>
              <w:pStyle w:val="NoSpacing"/>
              <w:rPr>
                <w:b w:val="0"/>
                <w:sz w:val="22"/>
                <w:szCs w:val="22"/>
              </w:rPr>
            </w:pPr>
            <w:r w:rsidRPr="009B40F8">
              <w:rPr>
                <w:b w:val="0"/>
                <w:sz w:val="22"/>
                <w:szCs w:val="22"/>
                <w:lang w:val="is-IS"/>
              </w:rPr>
              <w:t>103500</w:t>
            </w:r>
          </w:p>
        </w:tc>
      </w:tr>
      <w:tr w:rsidR="002D4260" w:rsidRPr="009B40F8" w14:paraId="556F7056" w14:textId="77777777" w:rsidTr="00D900EE">
        <w:trPr>
          <w:trHeight w:val="288"/>
        </w:trPr>
        <w:tc>
          <w:tcPr>
            <w:tcW w:w="831" w:type="pct"/>
            <w:tcBorders>
              <w:left w:val="nil"/>
              <w:bottom w:val="single" w:sz="18" w:space="0" w:color="auto"/>
              <w:right w:val="nil"/>
            </w:tcBorders>
            <w:shd w:val="clear" w:color="auto" w:fill="auto"/>
            <w:tcMar>
              <w:top w:w="15" w:type="dxa"/>
              <w:left w:w="15" w:type="dxa"/>
              <w:bottom w:w="0" w:type="dxa"/>
              <w:right w:w="15" w:type="dxa"/>
            </w:tcMar>
            <w:vAlign w:val="center"/>
            <w:hideMark/>
          </w:tcPr>
          <w:p w14:paraId="2543696C" w14:textId="77777777" w:rsidR="002D4260" w:rsidRPr="009B40F8" w:rsidRDefault="002D4260" w:rsidP="00D900EE">
            <w:pPr>
              <w:pStyle w:val="NoSpacing"/>
              <w:rPr>
                <w:b w:val="0"/>
                <w:sz w:val="22"/>
                <w:szCs w:val="22"/>
              </w:rPr>
            </w:pPr>
            <w:r w:rsidRPr="009B40F8">
              <w:rPr>
                <w:b w:val="0"/>
                <w:sz w:val="22"/>
                <w:szCs w:val="22"/>
              </w:rPr>
              <w:t>Total</w:t>
            </w:r>
          </w:p>
        </w:tc>
        <w:tc>
          <w:tcPr>
            <w:tcW w:w="322" w:type="pct"/>
            <w:tcBorders>
              <w:left w:val="nil"/>
              <w:bottom w:val="single" w:sz="18" w:space="0" w:color="auto"/>
              <w:right w:val="nil"/>
            </w:tcBorders>
            <w:shd w:val="clear" w:color="auto" w:fill="auto"/>
            <w:tcMar>
              <w:top w:w="15" w:type="dxa"/>
              <w:left w:w="15" w:type="dxa"/>
              <w:bottom w:w="0" w:type="dxa"/>
              <w:right w:w="15" w:type="dxa"/>
            </w:tcMar>
            <w:vAlign w:val="center"/>
            <w:hideMark/>
          </w:tcPr>
          <w:p w14:paraId="26300D7B" w14:textId="77777777" w:rsidR="002D4260" w:rsidRPr="009B40F8" w:rsidRDefault="002D4260" w:rsidP="00D900EE">
            <w:pPr>
              <w:pStyle w:val="NoSpacing"/>
              <w:rPr>
                <w:b w:val="0"/>
                <w:sz w:val="22"/>
                <w:szCs w:val="22"/>
              </w:rPr>
            </w:pPr>
            <w:r w:rsidRPr="009B40F8">
              <w:rPr>
                <w:b w:val="0"/>
                <w:sz w:val="22"/>
                <w:szCs w:val="22"/>
                <w:lang w:val="cs-CZ"/>
              </w:rPr>
              <w:t>421</w:t>
            </w:r>
          </w:p>
        </w:tc>
        <w:tc>
          <w:tcPr>
            <w:tcW w:w="351" w:type="pct"/>
            <w:tcBorders>
              <w:left w:val="nil"/>
              <w:bottom w:val="single" w:sz="18" w:space="0" w:color="auto"/>
              <w:right w:val="nil"/>
            </w:tcBorders>
            <w:shd w:val="clear" w:color="auto" w:fill="auto"/>
            <w:tcMar>
              <w:top w:w="15" w:type="dxa"/>
              <w:left w:w="15" w:type="dxa"/>
              <w:bottom w:w="0" w:type="dxa"/>
              <w:right w:w="15" w:type="dxa"/>
            </w:tcMar>
            <w:vAlign w:val="center"/>
            <w:hideMark/>
          </w:tcPr>
          <w:p w14:paraId="1C81F8D5" w14:textId="77777777" w:rsidR="002D4260" w:rsidRPr="009B40F8" w:rsidRDefault="002D4260" w:rsidP="00D900EE">
            <w:pPr>
              <w:pStyle w:val="NoSpacing"/>
              <w:rPr>
                <w:b w:val="0"/>
                <w:sz w:val="22"/>
                <w:szCs w:val="22"/>
              </w:rPr>
            </w:pPr>
            <w:r w:rsidRPr="009B40F8">
              <w:rPr>
                <w:b w:val="0"/>
                <w:sz w:val="22"/>
                <w:szCs w:val="22"/>
                <w:lang w:val="is-IS"/>
              </w:rPr>
              <w:t>40900</w:t>
            </w:r>
          </w:p>
        </w:tc>
        <w:tc>
          <w:tcPr>
            <w:tcW w:w="301" w:type="pct"/>
            <w:tcBorders>
              <w:left w:val="nil"/>
              <w:bottom w:val="single" w:sz="18" w:space="0" w:color="auto"/>
              <w:right w:val="nil"/>
            </w:tcBorders>
            <w:shd w:val="clear" w:color="auto" w:fill="auto"/>
            <w:tcMar>
              <w:top w:w="15" w:type="dxa"/>
              <w:left w:w="15" w:type="dxa"/>
              <w:bottom w:w="0" w:type="dxa"/>
              <w:right w:w="15" w:type="dxa"/>
            </w:tcMar>
            <w:vAlign w:val="center"/>
            <w:hideMark/>
          </w:tcPr>
          <w:p w14:paraId="4133D25B" w14:textId="77777777" w:rsidR="002D4260" w:rsidRPr="009B40F8" w:rsidRDefault="002D4260" w:rsidP="00D900EE">
            <w:pPr>
              <w:pStyle w:val="NoSpacing"/>
              <w:rPr>
                <w:b w:val="0"/>
                <w:sz w:val="22"/>
                <w:szCs w:val="22"/>
              </w:rPr>
            </w:pPr>
            <w:r w:rsidRPr="009B40F8">
              <w:rPr>
                <w:b w:val="0"/>
                <w:sz w:val="22"/>
                <w:szCs w:val="22"/>
                <w:lang w:val="is-IS"/>
              </w:rPr>
              <w:t>800</w:t>
            </w:r>
          </w:p>
        </w:tc>
        <w:tc>
          <w:tcPr>
            <w:tcW w:w="348" w:type="pct"/>
            <w:tcBorders>
              <w:left w:val="nil"/>
              <w:bottom w:val="single" w:sz="18" w:space="0" w:color="auto"/>
              <w:right w:val="nil"/>
            </w:tcBorders>
            <w:shd w:val="clear" w:color="auto" w:fill="auto"/>
            <w:tcMar>
              <w:top w:w="15" w:type="dxa"/>
              <w:left w:w="15" w:type="dxa"/>
              <w:bottom w:w="0" w:type="dxa"/>
              <w:right w:w="15" w:type="dxa"/>
            </w:tcMar>
            <w:vAlign w:val="center"/>
            <w:hideMark/>
          </w:tcPr>
          <w:p w14:paraId="7C19B1C4" w14:textId="77777777" w:rsidR="002D4260" w:rsidRPr="009B40F8" w:rsidRDefault="002D4260" w:rsidP="00D900EE">
            <w:pPr>
              <w:pStyle w:val="NoSpacing"/>
              <w:rPr>
                <w:b w:val="0"/>
                <w:sz w:val="22"/>
                <w:szCs w:val="22"/>
              </w:rPr>
            </w:pPr>
            <w:r w:rsidRPr="009B40F8">
              <w:rPr>
                <w:b w:val="0"/>
                <w:sz w:val="22"/>
                <w:szCs w:val="22"/>
                <w:lang w:val="is-IS"/>
              </w:rPr>
              <w:t>59000</w:t>
            </w:r>
          </w:p>
        </w:tc>
        <w:tc>
          <w:tcPr>
            <w:tcW w:w="348" w:type="pct"/>
            <w:tcBorders>
              <w:left w:val="nil"/>
              <w:bottom w:val="single" w:sz="18" w:space="0" w:color="auto"/>
              <w:right w:val="nil"/>
            </w:tcBorders>
            <w:shd w:val="clear" w:color="auto" w:fill="auto"/>
            <w:tcMar>
              <w:top w:w="15" w:type="dxa"/>
              <w:left w:w="15" w:type="dxa"/>
              <w:bottom w:w="0" w:type="dxa"/>
              <w:right w:w="15" w:type="dxa"/>
            </w:tcMar>
            <w:vAlign w:val="center"/>
            <w:hideMark/>
          </w:tcPr>
          <w:p w14:paraId="00C59BB3" w14:textId="77777777" w:rsidR="002D4260" w:rsidRPr="009B40F8" w:rsidRDefault="002D4260" w:rsidP="00D900EE">
            <w:pPr>
              <w:pStyle w:val="NoSpacing"/>
              <w:rPr>
                <w:b w:val="0"/>
                <w:sz w:val="22"/>
                <w:szCs w:val="22"/>
              </w:rPr>
            </w:pPr>
            <w:r w:rsidRPr="009B40F8">
              <w:rPr>
                <w:b w:val="0"/>
                <w:sz w:val="22"/>
                <w:szCs w:val="22"/>
                <w:lang w:val="cs-CZ"/>
              </w:rPr>
              <w:t>336</w:t>
            </w:r>
          </w:p>
        </w:tc>
        <w:tc>
          <w:tcPr>
            <w:tcW w:w="421" w:type="pct"/>
            <w:tcBorders>
              <w:left w:val="nil"/>
              <w:bottom w:val="single" w:sz="18" w:space="0" w:color="auto"/>
              <w:right w:val="nil"/>
            </w:tcBorders>
            <w:shd w:val="clear" w:color="auto" w:fill="auto"/>
            <w:tcMar>
              <w:top w:w="15" w:type="dxa"/>
              <w:left w:w="15" w:type="dxa"/>
              <w:bottom w:w="0" w:type="dxa"/>
              <w:right w:w="15" w:type="dxa"/>
            </w:tcMar>
            <w:vAlign w:val="center"/>
            <w:hideMark/>
          </w:tcPr>
          <w:p w14:paraId="37F2E04B" w14:textId="77777777" w:rsidR="002D4260" w:rsidRPr="009B40F8" w:rsidRDefault="002D4260" w:rsidP="00D900EE">
            <w:pPr>
              <w:pStyle w:val="NoSpacing"/>
              <w:rPr>
                <w:b w:val="0"/>
                <w:sz w:val="22"/>
                <w:szCs w:val="22"/>
              </w:rPr>
            </w:pPr>
            <w:r w:rsidRPr="009B40F8">
              <w:rPr>
                <w:b w:val="0"/>
                <w:sz w:val="22"/>
                <w:szCs w:val="22"/>
                <w:lang w:val="is-IS"/>
              </w:rPr>
              <w:t>39200</w:t>
            </w:r>
          </w:p>
        </w:tc>
        <w:tc>
          <w:tcPr>
            <w:tcW w:w="323" w:type="pct"/>
            <w:tcBorders>
              <w:left w:val="nil"/>
              <w:bottom w:val="single" w:sz="18" w:space="0" w:color="auto"/>
              <w:right w:val="nil"/>
            </w:tcBorders>
            <w:shd w:val="clear" w:color="auto" w:fill="auto"/>
            <w:tcMar>
              <w:top w:w="15" w:type="dxa"/>
              <w:left w:w="15" w:type="dxa"/>
              <w:bottom w:w="0" w:type="dxa"/>
              <w:right w:w="15" w:type="dxa"/>
            </w:tcMar>
            <w:vAlign w:val="center"/>
            <w:hideMark/>
          </w:tcPr>
          <w:p w14:paraId="7B9374E9" w14:textId="77777777" w:rsidR="002D4260" w:rsidRPr="009B40F8" w:rsidRDefault="002D4260" w:rsidP="00D900EE">
            <w:pPr>
              <w:pStyle w:val="NoSpacing"/>
              <w:rPr>
                <w:b w:val="0"/>
                <w:sz w:val="22"/>
                <w:szCs w:val="22"/>
              </w:rPr>
            </w:pPr>
            <w:r w:rsidRPr="009B40F8">
              <w:rPr>
                <w:b w:val="0"/>
                <w:sz w:val="22"/>
                <w:szCs w:val="22"/>
                <w:lang w:val="cs-CZ"/>
              </w:rPr>
              <w:t>493</w:t>
            </w:r>
          </w:p>
        </w:tc>
        <w:tc>
          <w:tcPr>
            <w:tcW w:w="351" w:type="pct"/>
            <w:tcBorders>
              <w:left w:val="nil"/>
              <w:bottom w:val="single" w:sz="18" w:space="0" w:color="auto"/>
              <w:right w:val="nil"/>
            </w:tcBorders>
            <w:shd w:val="clear" w:color="auto" w:fill="auto"/>
            <w:tcMar>
              <w:top w:w="15" w:type="dxa"/>
              <w:left w:w="15" w:type="dxa"/>
              <w:bottom w:w="0" w:type="dxa"/>
              <w:right w:w="15" w:type="dxa"/>
            </w:tcMar>
            <w:vAlign w:val="center"/>
            <w:hideMark/>
          </w:tcPr>
          <w:p w14:paraId="62F907E0" w14:textId="77777777" w:rsidR="002D4260" w:rsidRPr="009B40F8" w:rsidRDefault="002D4260" w:rsidP="00D900EE">
            <w:pPr>
              <w:pStyle w:val="NoSpacing"/>
              <w:rPr>
                <w:b w:val="0"/>
                <w:sz w:val="22"/>
                <w:szCs w:val="22"/>
              </w:rPr>
            </w:pPr>
            <w:r w:rsidRPr="009B40F8">
              <w:rPr>
                <w:b w:val="0"/>
                <w:sz w:val="22"/>
                <w:szCs w:val="22"/>
                <w:lang w:val="is-IS"/>
              </w:rPr>
              <w:t>37700</w:t>
            </w:r>
          </w:p>
        </w:tc>
        <w:tc>
          <w:tcPr>
            <w:tcW w:w="334" w:type="pct"/>
            <w:tcBorders>
              <w:left w:val="nil"/>
              <w:bottom w:val="single" w:sz="18" w:space="0" w:color="auto"/>
              <w:right w:val="nil"/>
            </w:tcBorders>
            <w:shd w:val="clear" w:color="auto" w:fill="auto"/>
            <w:tcMar>
              <w:top w:w="15" w:type="dxa"/>
              <w:left w:w="15" w:type="dxa"/>
              <w:bottom w:w="0" w:type="dxa"/>
              <w:right w:w="15" w:type="dxa"/>
            </w:tcMar>
            <w:vAlign w:val="center"/>
            <w:hideMark/>
          </w:tcPr>
          <w:p w14:paraId="06B018AF" w14:textId="77777777" w:rsidR="002D4260" w:rsidRPr="009B40F8" w:rsidRDefault="002D4260" w:rsidP="00D900EE">
            <w:pPr>
              <w:pStyle w:val="NoSpacing"/>
              <w:rPr>
                <w:b w:val="0"/>
                <w:sz w:val="22"/>
                <w:szCs w:val="22"/>
              </w:rPr>
            </w:pPr>
            <w:r w:rsidRPr="009B40F8">
              <w:rPr>
                <w:b w:val="0"/>
                <w:sz w:val="22"/>
                <w:szCs w:val="22"/>
                <w:lang w:val="is-IS"/>
              </w:rPr>
              <w:t>672</w:t>
            </w:r>
          </w:p>
        </w:tc>
        <w:tc>
          <w:tcPr>
            <w:tcW w:w="350" w:type="pct"/>
            <w:tcBorders>
              <w:left w:val="nil"/>
              <w:bottom w:val="single" w:sz="18" w:space="0" w:color="auto"/>
              <w:right w:val="nil"/>
            </w:tcBorders>
            <w:shd w:val="clear" w:color="auto" w:fill="auto"/>
            <w:tcMar>
              <w:top w:w="15" w:type="dxa"/>
              <w:left w:w="15" w:type="dxa"/>
              <w:bottom w:w="0" w:type="dxa"/>
              <w:right w:w="15" w:type="dxa"/>
            </w:tcMar>
            <w:vAlign w:val="center"/>
            <w:hideMark/>
          </w:tcPr>
          <w:p w14:paraId="2CAFB22A" w14:textId="77777777" w:rsidR="002D4260" w:rsidRPr="009B40F8" w:rsidRDefault="002D4260" w:rsidP="00D900EE">
            <w:pPr>
              <w:pStyle w:val="NoSpacing"/>
              <w:rPr>
                <w:b w:val="0"/>
                <w:sz w:val="22"/>
                <w:szCs w:val="22"/>
              </w:rPr>
            </w:pPr>
            <w:r w:rsidRPr="009B40F8">
              <w:rPr>
                <w:b w:val="0"/>
                <w:sz w:val="22"/>
                <w:szCs w:val="22"/>
                <w:lang w:val="cs-CZ"/>
              </w:rPr>
              <w:t>49100</w:t>
            </w:r>
          </w:p>
        </w:tc>
        <w:tc>
          <w:tcPr>
            <w:tcW w:w="324" w:type="pct"/>
            <w:tcBorders>
              <w:left w:val="nil"/>
              <w:bottom w:val="single" w:sz="18" w:space="0" w:color="auto"/>
              <w:right w:val="nil"/>
            </w:tcBorders>
            <w:shd w:val="clear" w:color="auto" w:fill="auto"/>
            <w:tcMar>
              <w:top w:w="15" w:type="dxa"/>
              <w:left w:w="15" w:type="dxa"/>
              <w:bottom w:w="0" w:type="dxa"/>
              <w:right w:w="15" w:type="dxa"/>
            </w:tcMar>
            <w:vAlign w:val="center"/>
            <w:hideMark/>
          </w:tcPr>
          <w:p w14:paraId="6B52BEC3" w14:textId="77777777" w:rsidR="002D4260" w:rsidRPr="009B40F8" w:rsidRDefault="002D4260" w:rsidP="00D900EE">
            <w:pPr>
              <w:pStyle w:val="NoSpacing"/>
              <w:rPr>
                <w:b w:val="0"/>
                <w:sz w:val="22"/>
                <w:szCs w:val="22"/>
              </w:rPr>
            </w:pPr>
            <w:r w:rsidRPr="009B40F8">
              <w:rPr>
                <w:b w:val="0"/>
                <w:sz w:val="22"/>
                <w:szCs w:val="22"/>
                <w:lang w:val="is-IS"/>
              </w:rPr>
              <w:t>2722</w:t>
            </w:r>
          </w:p>
        </w:tc>
        <w:tc>
          <w:tcPr>
            <w:tcW w:w="396" w:type="pct"/>
            <w:tcBorders>
              <w:left w:val="nil"/>
              <w:bottom w:val="single" w:sz="18" w:space="0" w:color="auto"/>
              <w:right w:val="nil"/>
            </w:tcBorders>
            <w:shd w:val="clear" w:color="auto" w:fill="auto"/>
            <w:tcMar>
              <w:top w:w="15" w:type="dxa"/>
              <w:left w:w="15" w:type="dxa"/>
              <w:bottom w:w="0" w:type="dxa"/>
              <w:right w:w="15" w:type="dxa"/>
            </w:tcMar>
            <w:vAlign w:val="center"/>
            <w:hideMark/>
          </w:tcPr>
          <w:p w14:paraId="606D1FF2" w14:textId="77777777" w:rsidR="002D4260" w:rsidRPr="009B40F8" w:rsidRDefault="002D4260" w:rsidP="00D900EE">
            <w:pPr>
              <w:pStyle w:val="NoSpacing"/>
              <w:rPr>
                <w:b w:val="0"/>
                <w:sz w:val="22"/>
                <w:szCs w:val="22"/>
              </w:rPr>
            </w:pPr>
            <w:r w:rsidRPr="009B40F8">
              <w:rPr>
                <w:b w:val="0"/>
                <w:sz w:val="22"/>
                <w:szCs w:val="22"/>
                <w:lang w:val="is-IS"/>
              </w:rPr>
              <w:t>225900</w:t>
            </w:r>
          </w:p>
        </w:tc>
      </w:tr>
      <w:tr w:rsidR="002D4260" w:rsidRPr="009B40F8" w14:paraId="78C67CA5" w14:textId="77777777" w:rsidTr="00D900EE">
        <w:trPr>
          <w:trHeight w:val="288"/>
        </w:trPr>
        <w:tc>
          <w:tcPr>
            <w:tcW w:w="831" w:type="pct"/>
            <w:tcBorders>
              <w:top w:val="single" w:sz="18" w:space="0" w:color="auto"/>
              <w:left w:val="nil"/>
              <w:bottom w:val="nil"/>
              <w:right w:val="nil"/>
            </w:tcBorders>
            <w:shd w:val="clear" w:color="auto" w:fill="auto"/>
            <w:tcMar>
              <w:top w:w="15" w:type="dxa"/>
              <w:left w:w="15" w:type="dxa"/>
              <w:bottom w:w="0" w:type="dxa"/>
              <w:right w:w="15" w:type="dxa"/>
            </w:tcMar>
            <w:vAlign w:val="center"/>
          </w:tcPr>
          <w:p w14:paraId="2F3582E3" w14:textId="77777777" w:rsidR="002D4260" w:rsidRPr="009B40F8" w:rsidRDefault="002D4260" w:rsidP="00D900EE">
            <w:pPr>
              <w:jc w:val="center"/>
              <w:rPr>
                <w:b/>
                <w:bCs/>
                <w:sz w:val="22"/>
                <w:szCs w:val="22"/>
              </w:rPr>
            </w:pPr>
          </w:p>
        </w:tc>
        <w:tc>
          <w:tcPr>
            <w:tcW w:w="322" w:type="pct"/>
            <w:tcBorders>
              <w:top w:val="single" w:sz="18" w:space="0" w:color="auto"/>
              <w:left w:val="nil"/>
              <w:bottom w:val="nil"/>
              <w:right w:val="nil"/>
            </w:tcBorders>
            <w:shd w:val="clear" w:color="auto" w:fill="auto"/>
            <w:tcMar>
              <w:top w:w="15" w:type="dxa"/>
              <w:left w:w="15" w:type="dxa"/>
              <w:bottom w:w="0" w:type="dxa"/>
              <w:right w:w="15" w:type="dxa"/>
            </w:tcMar>
            <w:vAlign w:val="center"/>
          </w:tcPr>
          <w:p w14:paraId="32EB0AAB" w14:textId="77777777" w:rsidR="002D4260" w:rsidRPr="009B40F8" w:rsidRDefault="002D4260" w:rsidP="00D900EE">
            <w:pPr>
              <w:jc w:val="center"/>
              <w:rPr>
                <w:b/>
                <w:bCs/>
                <w:sz w:val="22"/>
                <w:szCs w:val="22"/>
                <w:lang w:val="cs-CZ"/>
              </w:rPr>
            </w:pPr>
          </w:p>
        </w:tc>
        <w:tc>
          <w:tcPr>
            <w:tcW w:w="351" w:type="pct"/>
            <w:tcBorders>
              <w:top w:val="single" w:sz="18" w:space="0" w:color="auto"/>
              <w:left w:val="nil"/>
              <w:bottom w:val="nil"/>
              <w:right w:val="nil"/>
            </w:tcBorders>
            <w:shd w:val="clear" w:color="auto" w:fill="auto"/>
            <w:tcMar>
              <w:top w:w="15" w:type="dxa"/>
              <w:left w:w="15" w:type="dxa"/>
              <w:bottom w:w="0" w:type="dxa"/>
              <w:right w:w="15" w:type="dxa"/>
            </w:tcMar>
            <w:vAlign w:val="center"/>
          </w:tcPr>
          <w:p w14:paraId="7E05118B" w14:textId="77777777" w:rsidR="002D4260" w:rsidRPr="009B40F8" w:rsidRDefault="002D4260" w:rsidP="00D900EE">
            <w:pPr>
              <w:jc w:val="center"/>
              <w:rPr>
                <w:b/>
                <w:bCs/>
                <w:sz w:val="22"/>
                <w:szCs w:val="22"/>
                <w:lang w:val="is-IS"/>
              </w:rPr>
            </w:pPr>
          </w:p>
        </w:tc>
        <w:tc>
          <w:tcPr>
            <w:tcW w:w="301" w:type="pct"/>
            <w:tcBorders>
              <w:top w:val="single" w:sz="18" w:space="0" w:color="auto"/>
              <w:left w:val="nil"/>
              <w:bottom w:val="nil"/>
              <w:right w:val="nil"/>
            </w:tcBorders>
            <w:shd w:val="clear" w:color="auto" w:fill="auto"/>
            <w:tcMar>
              <w:top w:w="15" w:type="dxa"/>
              <w:left w:w="15" w:type="dxa"/>
              <w:bottom w:w="0" w:type="dxa"/>
              <w:right w:w="15" w:type="dxa"/>
            </w:tcMar>
            <w:vAlign w:val="center"/>
          </w:tcPr>
          <w:p w14:paraId="237EF004" w14:textId="77777777" w:rsidR="002D4260" w:rsidRPr="009B40F8" w:rsidRDefault="002D4260" w:rsidP="00D900EE">
            <w:pPr>
              <w:jc w:val="center"/>
              <w:rPr>
                <w:b/>
                <w:bCs/>
                <w:sz w:val="22"/>
                <w:szCs w:val="22"/>
                <w:lang w:val="is-IS"/>
              </w:rPr>
            </w:pPr>
          </w:p>
        </w:tc>
        <w:tc>
          <w:tcPr>
            <w:tcW w:w="348" w:type="pct"/>
            <w:tcBorders>
              <w:top w:val="single" w:sz="18" w:space="0" w:color="auto"/>
              <w:left w:val="nil"/>
              <w:bottom w:val="nil"/>
              <w:right w:val="nil"/>
            </w:tcBorders>
            <w:shd w:val="clear" w:color="auto" w:fill="auto"/>
            <w:tcMar>
              <w:top w:w="15" w:type="dxa"/>
              <w:left w:w="15" w:type="dxa"/>
              <w:bottom w:w="0" w:type="dxa"/>
              <w:right w:w="15" w:type="dxa"/>
            </w:tcMar>
            <w:vAlign w:val="center"/>
          </w:tcPr>
          <w:p w14:paraId="57CAA04B" w14:textId="77777777" w:rsidR="002D4260" w:rsidRPr="009B40F8" w:rsidRDefault="002D4260" w:rsidP="00D900EE">
            <w:pPr>
              <w:jc w:val="center"/>
              <w:rPr>
                <w:b/>
                <w:bCs/>
                <w:sz w:val="22"/>
                <w:szCs w:val="22"/>
                <w:lang w:val="is-IS"/>
              </w:rPr>
            </w:pPr>
          </w:p>
        </w:tc>
        <w:tc>
          <w:tcPr>
            <w:tcW w:w="348" w:type="pct"/>
            <w:tcBorders>
              <w:top w:val="single" w:sz="18" w:space="0" w:color="auto"/>
              <w:left w:val="nil"/>
              <w:bottom w:val="nil"/>
              <w:right w:val="nil"/>
            </w:tcBorders>
            <w:shd w:val="clear" w:color="auto" w:fill="auto"/>
            <w:tcMar>
              <w:top w:w="15" w:type="dxa"/>
              <w:left w:w="15" w:type="dxa"/>
              <w:bottom w:w="0" w:type="dxa"/>
              <w:right w:w="15" w:type="dxa"/>
            </w:tcMar>
            <w:vAlign w:val="center"/>
          </w:tcPr>
          <w:p w14:paraId="13744B18" w14:textId="77777777" w:rsidR="002D4260" w:rsidRPr="009B40F8" w:rsidRDefault="002D4260" w:rsidP="00D900EE">
            <w:pPr>
              <w:jc w:val="center"/>
              <w:rPr>
                <w:b/>
                <w:bCs/>
                <w:sz w:val="22"/>
                <w:szCs w:val="22"/>
                <w:lang w:val="cs-CZ"/>
              </w:rPr>
            </w:pPr>
          </w:p>
        </w:tc>
        <w:tc>
          <w:tcPr>
            <w:tcW w:w="421" w:type="pct"/>
            <w:tcBorders>
              <w:top w:val="single" w:sz="18" w:space="0" w:color="auto"/>
              <w:left w:val="nil"/>
              <w:bottom w:val="nil"/>
              <w:right w:val="nil"/>
            </w:tcBorders>
            <w:shd w:val="clear" w:color="auto" w:fill="auto"/>
            <w:tcMar>
              <w:top w:w="15" w:type="dxa"/>
              <w:left w:w="15" w:type="dxa"/>
              <w:bottom w:w="0" w:type="dxa"/>
              <w:right w:w="15" w:type="dxa"/>
            </w:tcMar>
            <w:vAlign w:val="center"/>
          </w:tcPr>
          <w:p w14:paraId="6F719622" w14:textId="77777777" w:rsidR="002D4260" w:rsidRPr="009B40F8" w:rsidRDefault="002D4260" w:rsidP="00D900EE">
            <w:pPr>
              <w:jc w:val="center"/>
              <w:rPr>
                <w:b/>
                <w:bCs/>
                <w:sz w:val="22"/>
                <w:szCs w:val="22"/>
                <w:lang w:val="is-IS"/>
              </w:rPr>
            </w:pPr>
          </w:p>
        </w:tc>
        <w:tc>
          <w:tcPr>
            <w:tcW w:w="323" w:type="pct"/>
            <w:tcBorders>
              <w:top w:val="single" w:sz="18" w:space="0" w:color="auto"/>
              <w:left w:val="nil"/>
              <w:bottom w:val="nil"/>
              <w:right w:val="nil"/>
            </w:tcBorders>
            <w:shd w:val="clear" w:color="auto" w:fill="auto"/>
            <w:tcMar>
              <w:top w:w="15" w:type="dxa"/>
              <w:left w:w="15" w:type="dxa"/>
              <w:bottom w:w="0" w:type="dxa"/>
              <w:right w:w="15" w:type="dxa"/>
            </w:tcMar>
            <w:vAlign w:val="center"/>
          </w:tcPr>
          <w:p w14:paraId="73997BF4" w14:textId="77777777" w:rsidR="002D4260" w:rsidRPr="009B40F8" w:rsidRDefault="002D4260" w:rsidP="00D900EE">
            <w:pPr>
              <w:jc w:val="center"/>
              <w:rPr>
                <w:b/>
                <w:bCs/>
                <w:sz w:val="22"/>
                <w:szCs w:val="22"/>
                <w:lang w:val="cs-CZ"/>
              </w:rPr>
            </w:pPr>
          </w:p>
        </w:tc>
        <w:tc>
          <w:tcPr>
            <w:tcW w:w="351" w:type="pct"/>
            <w:tcBorders>
              <w:top w:val="single" w:sz="18" w:space="0" w:color="auto"/>
              <w:left w:val="nil"/>
              <w:bottom w:val="nil"/>
              <w:right w:val="nil"/>
            </w:tcBorders>
            <w:shd w:val="clear" w:color="auto" w:fill="auto"/>
            <w:tcMar>
              <w:top w:w="15" w:type="dxa"/>
              <w:left w:w="15" w:type="dxa"/>
              <w:bottom w:w="0" w:type="dxa"/>
              <w:right w:w="15" w:type="dxa"/>
            </w:tcMar>
            <w:vAlign w:val="center"/>
          </w:tcPr>
          <w:p w14:paraId="6235252B" w14:textId="77777777" w:rsidR="002D4260" w:rsidRPr="009B40F8" w:rsidRDefault="002D4260" w:rsidP="00D900EE">
            <w:pPr>
              <w:jc w:val="center"/>
              <w:rPr>
                <w:b/>
                <w:bCs/>
                <w:sz w:val="22"/>
                <w:szCs w:val="22"/>
                <w:lang w:val="is-IS"/>
              </w:rPr>
            </w:pPr>
          </w:p>
        </w:tc>
        <w:tc>
          <w:tcPr>
            <w:tcW w:w="334" w:type="pct"/>
            <w:tcBorders>
              <w:top w:val="single" w:sz="18" w:space="0" w:color="auto"/>
              <w:left w:val="nil"/>
              <w:bottom w:val="nil"/>
              <w:right w:val="nil"/>
            </w:tcBorders>
            <w:shd w:val="clear" w:color="auto" w:fill="auto"/>
            <w:tcMar>
              <w:top w:w="15" w:type="dxa"/>
              <w:left w:w="15" w:type="dxa"/>
              <w:bottom w:w="0" w:type="dxa"/>
              <w:right w:w="15" w:type="dxa"/>
            </w:tcMar>
            <w:vAlign w:val="center"/>
          </w:tcPr>
          <w:p w14:paraId="2BDFC142" w14:textId="77777777" w:rsidR="002D4260" w:rsidRPr="009B40F8" w:rsidRDefault="002D4260" w:rsidP="00D900EE">
            <w:pPr>
              <w:jc w:val="center"/>
              <w:rPr>
                <w:b/>
                <w:bCs/>
                <w:sz w:val="22"/>
                <w:szCs w:val="22"/>
                <w:lang w:val="is-IS"/>
              </w:rPr>
            </w:pPr>
          </w:p>
        </w:tc>
        <w:tc>
          <w:tcPr>
            <w:tcW w:w="350" w:type="pct"/>
            <w:tcBorders>
              <w:top w:val="single" w:sz="18" w:space="0" w:color="auto"/>
              <w:left w:val="nil"/>
              <w:bottom w:val="nil"/>
              <w:right w:val="nil"/>
            </w:tcBorders>
            <w:shd w:val="clear" w:color="auto" w:fill="auto"/>
            <w:tcMar>
              <w:top w:w="15" w:type="dxa"/>
              <w:left w:w="15" w:type="dxa"/>
              <w:bottom w:w="0" w:type="dxa"/>
              <w:right w:w="15" w:type="dxa"/>
            </w:tcMar>
            <w:vAlign w:val="center"/>
          </w:tcPr>
          <w:p w14:paraId="4205C443" w14:textId="77777777" w:rsidR="002D4260" w:rsidRPr="009B40F8" w:rsidRDefault="002D4260" w:rsidP="00D900EE">
            <w:pPr>
              <w:jc w:val="center"/>
              <w:rPr>
                <w:b/>
                <w:bCs/>
                <w:sz w:val="22"/>
                <w:szCs w:val="22"/>
                <w:lang w:val="cs-CZ"/>
              </w:rPr>
            </w:pPr>
          </w:p>
        </w:tc>
        <w:tc>
          <w:tcPr>
            <w:tcW w:w="324" w:type="pct"/>
            <w:tcBorders>
              <w:top w:val="single" w:sz="18" w:space="0" w:color="auto"/>
              <w:left w:val="nil"/>
              <w:bottom w:val="nil"/>
              <w:right w:val="nil"/>
            </w:tcBorders>
            <w:shd w:val="clear" w:color="auto" w:fill="auto"/>
            <w:tcMar>
              <w:top w:w="15" w:type="dxa"/>
              <w:left w:w="15" w:type="dxa"/>
              <w:bottom w:w="0" w:type="dxa"/>
              <w:right w:w="15" w:type="dxa"/>
            </w:tcMar>
            <w:vAlign w:val="center"/>
          </w:tcPr>
          <w:p w14:paraId="72471C86" w14:textId="77777777" w:rsidR="002D4260" w:rsidRPr="009B40F8" w:rsidRDefault="002D4260" w:rsidP="00D900EE">
            <w:pPr>
              <w:jc w:val="center"/>
              <w:rPr>
                <w:b/>
                <w:bCs/>
                <w:sz w:val="22"/>
                <w:szCs w:val="22"/>
                <w:lang w:val="is-IS"/>
              </w:rPr>
            </w:pPr>
          </w:p>
        </w:tc>
        <w:tc>
          <w:tcPr>
            <w:tcW w:w="396" w:type="pct"/>
            <w:tcBorders>
              <w:top w:val="single" w:sz="18" w:space="0" w:color="auto"/>
              <w:left w:val="nil"/>
              <w:bottom w:val="nil"/>
              <w:right w:val="nil"/>
            </w:tcBorders>
            <w:shd w:val="clear" w:color="auto" w:fill="auto"/>
            <w:tcMar>
              <w:top w:w="15" w:type="dxa"/>
              <w:left w:w="15" w:type="dxa"/>
              <w:bottom w:w="0" w:type="dxa"/>
              <w:right w:w="15" w:type="dxa"/>
            </w:tcMar>
            <w:vAlign w:val="center"/>
          </w:tcPr>
          <w:p w14:paraId="2D1E26E2" w14:textId="77777777" w:rsidR="002D4260" w:rsidRPr="009B40F8" w:rsidRDefault="002D4260" w:rsidP="00D900EE">
            <w:pPr>
              <w:jc w:val="center"/>
              <w:rPr>
                <w:b/>
                <w:bCs/>
                <w:sz w:val="22"/>
                <w:szCs w:val="22"/>
                <w:lang w:val="is-IS"/>
              </w:rPr>
            </w:pPr>
          </w:p>
        </w:tc>
      </w:tr>
    </w:tbl>
    <w:p w14:paraId="71A8D042" w14:textId="77777777" w:rsidR="002D4260" w:rsidRPr="004158C8" w:rsidRDefault="002D4260" w:rsidP="002D4260">
      <w:pPr>
        <w:jc w:val="center"/>
      </w:pPr>
    </w:p>
    <w:p w14:paraId="744A59CD" w14:textId="77777777" w:rsidR="002D4260" w:rsidRPr="004158C8" w:rsidRDefault="002D4260" w:rsidP="002D4260">
      <w:pPr>
        <w:jc w:val="center"/>
      </w:pPr>
      <w:r w:rsidRPr="004158C8">
        <w:rPr>
          <w:noProof/>
          <w:lang w:eastAsia="zh-CN"/>
        </w:rPr>
        <w:lastRenderedPageBreak/>
        <w:drawing>
          <wp:inline distT="0" distB="0" distL="0" distR="0" wp14:anchorId="313863EF" wp14:editId="5B5E8B7C">
            <wp:extent cx="4311579" cy="2211705"/>
            <wp:effectExtent l="0" t="0" r="6985" b="0"/>
            <wp:docPr id="7" name="Picture 1" descr="../../../../Desktop/Screen%20Shot%202016-05-03%20at%206.22.04%2"/>
            <wp:cNvGraphicFramePr/>
            <a:graphic xmlns:a="http://schemas.openxmlformats.org/drawingml/2006/main">
              <a:graphicData uri="http://schemas.openxmlformats.org/drawingml/2006/picture">
                <pic:pic xmlns:pic="http://schemas.openxmlformats.org/drawingml/2006/picture">
                  <pic:nvPicPr>
                    <pic:cNvPr id="2" name="Picture 1" descr="../../../../Desktop/Screen%20Shot%202016-05-03%20at%206.22.04%2"/>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23571" cy="2217856"/>
                    </a:xfrm>
                    <a:prstGeom prst="rect">
                      <a:avLst/>
                    </a:prstGeom>
                    <a:noFill/>
                    <a:ln>
                      <a:noFill/>
                    </a:ln>
                  </pic:spPr>
                </pic:pic>
              </a:graphicData>
            </a:graphic>
          </wp:inline>
        </w:drawing>
      </w:r>
    </w:p>
    <w:p w14:paraId="636407FB" w14:textId="77777777" w:rsidR="002D4260" w:rsidRPr="004158C8" w:rsidRDefault="002D4260" w:rsidP="002D4260">
      <w:pPr>
        <w:jc w:val="both"/>
      </w:pPr>
    </w:p>
    <w:p w14:paraId="0F93016D" w14:textId="77777777" w:rsidR="002D4260" w:rsidRDefault="002D4260" w:rsidP="002D4260">
      <w:pPr>
        <w:jc w:val="center"/>
      </w:pPr>
      <w:r w:rsidRPr="00DA5CFC">
        <w:rPr>
          <w:i/>
        </w:rPr>
        <w:t xml:space="preserve">Figure </w:t>
      </w:r>
      <w:r>
        <w:rPr>
          <w:i/>
        </w:rPr>
        <w:t>1</w:t>
      </w:r>
      <w:r w:rsidRPr="00DA5CFC">
        <w:t xml:space="preserve">. </w:t>
      </w:r>
      <w:r>
        <w:t>This is your figure title and/or description</w:t>
      </w:r>
    </w:p>
    <w:p w14:paraId="15AA72E4" w14:textId="77777777" w:rsidR="002D4260" w:rsidRPr="00DA5CFC" w:rsidRDefault="002D4260" w:rsidP="002D4260">
      <w:pPr>
        <w:jc w:val="center"/>
      </w:pPr>
    </w:p>
    <w:p w14:paraId="47064276" w14:textId="77777777" w:rsidR="002D4260" w:rsidRDefault="002D4260" w:rsidP="002D4260">
      <w:pPr>
        <w:jc w:val="center"/>
        <w:rPr>
          <w:b/>
          <w:sz w:val="28"/>
          <w:szCs w:val="28"/>
        </w:rPr>
      </w:pPr>
    </w:p>
    <w:p w14:paraId="56307418" w14:textId="77777777" w:rsidR="002D4260" w:rsidRPr="00131C69" w:rsidRDefault="002D4260" w:rsidP="002D4260">
      <w:pPr>
        <w:jc w:val="center"/>
        <w:rPr>
          <w:b/>
          <w:sz w:val="28"/>
          <w:szCs w:val="28"/>
        </w:rPr>
      </w:pPr>
      <w:r w:rsidRPr="00131C69">
        <w:rPr>
          <w:b/>
          <w:sz w:val="28"/>
          <w:szCs w:val="28"/>
        </w:rPr>
        <w:t>References</w:t>
      </w:r>
    </w:p>
    <w:p w14:paraId="1BE2A4A6" w14:textId="77777777" w:rsidR="002D4260" w:rsidRPr="004158C8" w:rsidRDefault="002D4260" w:rsidP="002D4260">
      <w:pPr>
        <w:rPr>
          <w:b/>
        </w:rPr>
      </w:pPr>
    </w:p>
    <w:sdt>
      <w:sdtPr>
        <w:rPr>
          <w:rFonts w:ascii="Times New Roman" w:eastAsia="Calibri" w:hAnsi="Times New Roman" w:cs="Times New Roman"/>
          <w:sz w:val="24"/>
          <w:szCs w:val="24"/>
          <w:bdr w:val="nil"/>
          <w:lang w:val="en-PH"/>
        </w:rPr>
        <w:id w:val="111145805"/>
        <w:bibliography/>
      </w:sdtPr>
      <w:sdtEndPr>
        <w:rPr>
          <w:rFonts w:eastAsia="Arial Unicode MS"/>
          <w:sz w:val="32"/>
          <w:highlight w:val="yellow"/>
          <w:lang w:val="en-US"/>
        </w:rPr>
      </w:sdtEndPr>
      <w:sdtContent>
        <w:p w14:paraId="60D3254E" w14:textId="77777777" w:rsidR="002D4260" w:rsidRPr="004158C8" w:rsidRDefault="002D4260" w:rsidP="002D4260">
          <w:pPr>
            <w:pStyle w:val="Bibliography"/>
            <w:spacing w:after="0" w:line="240" w:lineRule="auto"/>
            <w:ind w:left="540" w:hanging="540"/>
            <w:jc w:val="both"/>
            <w:rPr>
              <w:rFonts w:ascii="Times New Roman" w:hAnsi="Times New Roman" w:cs="Times New Roman"/>
              <w:sz w:val="24"/>
              <w:szCs w:val="24"/>
            </w:rPr>
          </w:pPr>
          <w:r w:rsidRPr="004158C8">
            <w:rPr>
              <w:rFonts w:ascii="Times New Roman" w:hAnsi="Times New Roman" w:cs="Times New Roman"/>
              <w:sz w:val="24"/>
              <w:szCs w:val="24"/>
            </w:rPr>
            <w:t xml:space="preserve">Appel, R., &amp; </w:t>
          </w:r>
          <w:proofErr w:type="spellStart"/>
          <w:r w:rsidRPr="004158C8">
            <w:rPr>
              <w:rFonts w:ascii="Times New Roman" w:hAnsi="Times New Roman" w:cs="Times New Roman"/>
              <w:sz w:val="24"/>
              <w:szCs w:val="24"/>
            </w:rPr>
            <w:t>Muysken</w:t>
          </w:r>
          <w:proofErr w:type="spellEnd"/>
          <w:r w:rsidRPr="004158C8">
            <w:rPr>
              <w:rFonts w:ascii="Times New Roman" w:hAnsi="Times New Roman" w:cs="Times New Roman"/>
              <w:sz w:val="24"/>
              <w:szCs w:val="24"/>
            </w:rPr>
            <w:t xml:space="preserve">, P. (1987). </w:t>
          </w:r>
          <w:r w:rsidRPr="004158C8">
            <w:rPr>
              <w:rFonts w:ascii="Times New Roman" w:hAnsi="Times New Roman" w:cs="Times New Roman"/>
              <w:i/>
              <w:sz w:val="24"/>
              <w:szCs w:val="24"/>
            </w:rPr>
            <w:t>Language contact and bilingualism.</w:t>
          </w:r>
          <w:r w:rsidRPr="004158C8">
            <w:rPr>
              <w:rFonts w:ascii="Times New Roman" w:hAnsi="Times New Roman" w:cs="Times New Roman"/>
              <w:sz w:val="24"/>
              <w:szCs w:val="24"/>
            </w:rPr>
            <w:t xml:space="preserve"> Amsterdam: Amsterdam University Press.</w:t>
          </w:r>
        </w:p>
        <w:p w14:paraId="1F4B1999" w14:textId="77777777" w:rsidR="002D4260" w:rsidRPr="004158C8" w:rsidRDefault="002D4260" w:rsidP="002D4260">
          <w:pPr>
            <w:pStyle w:val="Bibliography"/>
            <w:spacing w:after="0" w:line="240" w:lineRule="auto"/>
            <w:ind w:left="540" w:hanging="540"/>
            <w:jc w:val="both"/>
            <w:rPr>
              <w:rFonts w:ascii="Times New Roman" w:hAnsi="Times New Roman" w:cs="Times New Roman"/>
              <w:noProof/>
              <w:sz w:val="24"/>
              <w:szCs w:val="24"/>
            </w:rPr>
          </w:pPr>
          <w:r w:rsidRPr="004158C8">
            <w:rPr>
              <w:rFonts w:ascii="Times New Roman" w:hAnsi="Times New Roman" w:cs="Times New Roman"/>
              <w:noProof/>
              <w:sz w:val="24"/>
              <w:szCs w:val="24"/>
            </w:rPr>
            <w:t xml:space="preserve">Abastillas, G. (2015). </w:t>
          </w:r>
          <w:r w:rsidRPr="004158C8">
            <w:rPr>
              <w:rFonts w:ascii="Times New Roman" w:hAnsi="Times New Roman" w:cs="Times New Roman"/>
              <w:i/>
              <w:noProof/>
              <w:sz w:val="24"/>
              <w:szCs w:val="24"/>
            </w:rPr>
            <w:t>Divergence in Cebuano and English code-switching practices in Cebuano speech communities in the central Philippines</w:t>
          </w:r>
          <w:r>
            <w:rPr>
              <w:rFonts w:ascii="Times New Roman" w:hAnsi="Times New Roman" w:cs="Times New Roman"/>
              <w:noProof/>
              <w:sz w:val="24"/>
              <w:szCs w:val="24"/>
            </w:rPr>
            <w:t xml:space="preserve"> (</w:t>
          </w:r>
          <w:r w:rsidRPr="004158C8">
            <w:rPr>
              <w:rFonts w:ascii="Times New Roman" w:hAnsi="Times New Roman" w:cs="Times New Roman"/>
              <w:noProof/>
              <w:sz w:val="24"/>
              <w:szCs w:val="24"/>
            </w:rPr>
            <w:t xml:space="preserve">Unpublished </w:t>
          </w:r>
          <w:r w:rsidRPr="004158C8">
            <w:rPr>
              <w:rFonts w:ascii="Times New Roman" w:hAnsi="Times New Roman" w:cs="Times New Roman"/>
              <w:iCs/>
              <w:noProof/>
              <w:sz w:val="24"/>
              <w:szCs w:val="24"/>
            </w:rPr>
            <w:t>Master's Thesis</w:t>
          </w:r>
          <w:r>
            <w:rPr>
              <w:rFonts w:ascii="Times New Roman" w:hAnsi="Times New Roman" w:cs="Times New Roman"/>
              <w:noProof/>
              <w:sz w:val="24"/>
              <w:szCs w:val="24"/>
            </w:rPr>
            <w:t>).</w:t>
          </w:r>
          <w:r w:rsidRPr="004158C8">
            <w:rPr>
              <w:rFonts w:ascii="Times New Roman" w:hAnsi="Times New Roman" w:cs="Times New Roman"/>
              <w:noProof/>
              <w:sz w:val="24"/>
              <w:szCs w:val="24"/>
            </w:rPr>
            <w:t xml:space="preserve"> Georgetown University.</w:t>
          </w:r>
        </w:p>
        <w:p w14:paraId="1F21CA84" w14:textId="77777777" w:rsidR="002D4260" w:rsidRPr="004158C8" w:rsidRDefault="002D4260" w:rsidP="002D4260">
          <w:pPr>
            <w:pStyle w:val="Bibliography"/>
            <w:spacing w:after="0" w:line="240" w:lineRule="auto"/>
            <w:ind w:left="540" w:hanging="540"/>
            <w:jc w:val="both"/>
            <w:rPr>
              <w:rFonts w:ascii="Times New Roman" w:hAnsi="Times New Roman" w:cs="Times New Roman"/>
              <w:noProof/>
              <w:sz w:val="24"/>
              <w:szCs w:val="24"/>
            </w:rPr>
          </w:pPr>
          <w:r w:rsidRPr="004158C8">
            <w:rPr>
              <w:rFonts w:ascii="Times New Roman" w:hAnsi="Times New Roman" w:cs="Times New Roman"/>
              <w:noProof/>
              <w:sz w:val="24"/>
              <w:szCs w:val="24"/>
            </w:rPr>
            <w:t xml:space="preserve">Ang See, T. (1997). The Chinese in the Philippines: Continuity and change. </w:t>
          </w:r>
          <w:r w:rsidRPr="004158C8">
            <w:rPr>
              <w:rFonts w:ascii="Times New Roman" w:hAnsi="Times New Roman" w:cs="Times New Roman"/>
              <w:i/>
              <w:iCs/>
              <w:noProof/>
              <w:sz w:val="24"/>
              <w:szCs w:val="24"/>
            </w:rPr>
            <w:t>Asian Studies, 33</w:t>
          </w:r>
          <w:r w:rsidRPr="004158C8">
            <w:rPr>
              <w:rFonts w:ascii="Times New Roman" w:hAnsi="Times New Roman" w:cs="Times New Roman"/>
              <w:noProof/>
              <w:sz w:val="24"/>
              <w:szCs w:val="24"/>
            </w:rPr>
            <w:t>, 69-82.</w:t>
          </w:r>
        </w:p>
        <w:p w14:paraId="6E62EBD0" w14:textId="77777777" w:rsidR="002D4260" w:rsidRPr="002D4260" w:rsidRDefault="002D4260" w:rsidP="002D4260">
          <w:pPr>
            <w:pStyle w:val="Bibliography"/>
            <w:spacing w:after="0" w:line="240" w:lineRule="auto"/>
            <w:ind w:left="540" w:hanging="540"/>
            <w:jc w:val="both"/>
            <w:rPr>
              <w:rFonts w:ascii="Times New Roman" w:hAnsi="Times New Roman" w:cs="Times New Roman"/>
              <w:noProof/>
              <w:sz w:val="36"/>
              <w:szCs w:val="24"/>
            </w:rPr>
          </w:pPr>
        </w:p>
        <w:p w14:paraId="6F7FF82C" w14:textId="067C651A" w:rsidR="002F2358" w:rsidRDefault="002D4260" w:rsidP="002D4260">
          <w:pPr>
            <w:pStyle w:val="Bibliography"/>
            <w:spacing w:after="0" w:line="240" w:lineRule="auto"/>
            <w:ind w:left="540" w:hanging="540"/>
            <w:jc w:val="both"/>
            <w:rPr>
              <w:rFonts w:ascii="Times New Roman" w:hAnsi="Times New Roman" w:cs="Times New Roman"/>
              <w:noProof/>
              <w:sz w:val="36"/>
              <w:szCs w:val="24"/>
            </w:rPr>
          </w:pPr>
          <w:r w:rsidRPr="002D4260">
            <w:rPr>
              <w:rFonts w:ascii="Times New Roman" w:hAnsi="Times New Roman" w:cs="Times New Roman"/>
              <w:noProof/>
              <w:sz w:val="36"/>
              <w:szCs w:val="24"/>
              <w:highlight w:val="yellow"/>
            </w:rPr>
            <w:t xml:space="preserve">[Note: Follow the APA </w:t>
          </w:r>
          <w:r w:rsidR="002F2358">
            <w:rPr>
              <w:rFonts w:ascii="Times New Roman" w:hAnsi="Times New Roman" w:cs="Times New Roman"/>
              <w:noProof/>
              <w:sz w:val="36"/>
              <w:szCs w:val="24"/>
              <w:highlight w:val="yellow"/>
            </w:rPr>
            <w:t>7</w:t>
          </w:r>
          <w:r w:rsidRPr="002D4260">
            <w:rPr>
              <w:rFonts w:ascii="Times New Roman" w:hAnsi="Times New Roman" w:cs="Times New Roman"/>
              <w:noProof/>
              <w:sz w:val="36"/>
              <w:szCs w:val="24"/>
              <w:highlight w:val="yellow"/>
              <w:vertAlign w:val="superscript"/>
            </w:rPr>
            <w:t>th</w:t>
          </w:r>
          <w:r w:rsidRPr="002D4260">
            <w:rPr>
              <w:rFonts w:ascii="Times New Roman" w:hAnsi="Times New Roman" w:cs="Times New Roman"/>
              <w:noProof/>
              <w:sz w:val="36"/>
              <w:szCs w:val="24"/>
              <w:highlight w:val="yellow"/>
            </w:rPr>
            <w:t xml:space="preserve"> edition for in-text citations and the text-end references; Guidelines can be found here: </w:t>
          </w:r>
          <w:hyperlink r:id="rId9" w:history="1">
            <w:r w:rsidR="002F2358" w:rsidRPr="00DE166B">
              <w:rPr>
                <w:rStyle w:val="Hyperlink"/>
                <w:rFonts w:ascii="Times New Roman" w:hAnsi="Times New Roman" w:cs="Times New Roman"/>
                <w:noProof/>
                <w:sz w:val="36"/>
                <w:szCs w:val="24"/>
              </w:rPr>
              <w:t>https://owl.purdue.edu/owl/research_and_citation/apa_style/apa_formatting_and_style_guide/apa_changes_7th_edition.html</w:t>
            </w:r>
          </w:hyperlink>
        </w:p>
        <w:p w14:paraId="63FD7DCD" w14:textId="0842388C" w:rsidR="002D4260" w:rsidRPr="002F2358" w:rsidRDefault="0015540E" w:rsidP="002F2358"/>
      </w:sdtContent>
    </w:sdt>
    <w:p w14:paraId="0ED00967" w14:textId="77777777" w:rsidR="002D4260" w:rsidRDefault="002D4260" w:rsidP="002D4260">
      <w:pPr>
        <w:rPr>
          <w:b/>
          <w:sz w:val="28"/>
          <w:szCs w:val="28"/>
        </w:rPr>
      </w:pPr>
    </w:p>
    <w:p w14:paraId="1010B222" w14:textId="77777777" w:rsidR="002D4260" w:rsidRDefault="002D4260" w:rsidP="002D4260">
      <w:pPr>
        <w:rPr>
          <w:b/>
          <w:sz w:val="28"/>
          <w:szCs w:val="28"/>
        </w:rPr>
      </w:pPr>
    </w:p>
    <w:p w14:paraId="2369F622" w14:textId="77777777" w:rsidR="002F2358" w:rsidRDefault="002F2358" w:rsidP="002D4260">
      <w:pPr>
        <w:jc w:val="center"/>
        <w:rPr>
          <w:b/>
          <w:sz w:val="28"/>
          <w:szCs w:val="28"/>
        </w:rPr>
        <w:sectPr w:rsidR="002F2358" w:rsidSect="002519AD">
          <w:headerReference w:type="even" r:id="rId10"/>
          <w:headerReference w:type="default" r:id="rId11"/>
          <w:headerReference w:type="first" r:id="rId12"/>
          <w:footerReference w:type="first" r:id="rId13"/>
          <w:pgSz w:w="12240" w:h="15840"/>
          <w:pgMar w:top="1440" w:right="1440" w:bottom="1440" w:left="1440" w:header="720" w:footer="720" w:gutter="0"/>
          <w:cols w:space="720"/>
          <w:titlePg/>
        </w:sectPr>
      </w:pPr>
    </w:p>
    <w:p w14:paraId="6B8E8A48" w14:textId="2DA80F91" w:rsidR="002D4260" w:rsidRPr="00CD5E97" w:rsidRDefault="002D4260" w:rsidP="002D4260">
      <w:pPr>
        <w:jc w:val="center"/>
        <w:rPr>
          <w:b/>
          <w:sz w:val="28"/>
          <w:szCs w:val="28"/>
        </w:rPr>
      </w:pPr>
      <w:r w:rsidRPr="00CD5E97">
        <w:rPr>
          <w:b/>
          <w:sz w:val="28"/>
          <w:szCs w:val="28"/>
        </w:rPr>
        <w:lastRenderedPageBreak/>
        <w:t xml:space="preserve">Appendix A. </w:t>
      </w:r>
      <w:r>
        <w:rPr>
          <w:b/>
          <w:sz w:val="28"/>
          <w:szCs w:val="28"/>
        </w:rPr>
        <w:t>Sample Title</w:t>
      </w:r>
    </w:p>
    <w:p w14:paraId="565BD461" w14:textId="77777777" w:rsidR="002D4260" w:rsidRDefault="002D4260" w:rsidP="002D4260"/>
    <w:p w14:paraId="1BEF808E" w14:textId="77777777" w:rsidR="002D4260" w:rsidRDefault="002D4260" w:rsidP="002D4260">
      <w:r>
        <w:t xml:space="preserve">1SG </w:t>
      </w:r>
      <w:r>
        <w:tab/>
        <w:t xml:space="preserve">– </w:t>
      </w:r>
      <w:r>
        <w:tab/>
        <w:t>first person singular</w:t>
      </w:r>
    </w:p>
    <w:p w14:paraId="4E238FF7" w14:textId="77777777" w:rsidR="002D4260" w:rsidRDefault="002D4260" w:rsidP="002D4260">
      <w:r>
        <w:t>2SG</w:t>
      </w:r>
      <w:r>
        <w:tab/>
        <w:t>–</w:t>
      </w:r>
      <w:r>
        <w:tab/>
        <w:t>second person singular</w:t>
      </w:r>
    </w:p>
    <w:p w14:paraId="4556E267" w14:textId="77777777" w:rsidR="002D4260" w:rsidRDefault="002D4260" w:rsidP="002D4260">
      <w:r>
        <w:t xml:space="preserve">3SG </w:t>
      </w:r>
      <w:r>
        <w:tab/>
        <w:t>–</w:t>
      </w:r>
      <w:r>
        <w:tab/>
        <w:t>third person singular</w:t>
      </w:r>
    </w:p>
    <w:p w14:paraId="0F5DCBA0" w14:textId="741FB7A2" w:rsidR="006D067F" w:rsidRPr="002D4260" w:rsidRDefault="006D067F" w:rsidP="002D4260"/>
    <w:sectPr w:rsidR="006D067F" w:rsidRPr="002D4260" w:rsidSect="002519AD">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F02E5" w14:textId="77777777" w:rsidR="0015540E" w:rsidRDefault="0015540E" w:rsidP="002D4260">
      <w:r>
        <w:separator/>
      </w:r>
    </w:p>
  </w:endnote>
  <w:endnote w:type="continuationSeparator" w:id="0">
    <w:p w14:paraId="48674C74" w14:textId="77777777" w:rsidR="0015540E" w:rsidRDefault="0015540E" w:rsidP="002D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10E51" w14:textId="0BCA3BCC" w:rsidR="00C72AAD" w:rsidRPr="00417B01" w:rsidRDefault="00C72AAD" w:rsidP="00C72AAD">
    <w:pPr>
      <w:pStyle w:val="Footer"/>
      <w:tabs>
        <w:tab w:val="clear" w:pos="9360"/>
        <w:tab w:val="center" w:pos="4500"/>
        <w:tab w:val="right" w:pos="9000"/>
      </w:tabs>
      <w:ind w:right="360"/>
      <w:jc w:val="center"/>
      <w:rPr>
        <w:sz w:val="21"/>
      </w:rPr>
    </w:pPr>
    <w:r>
      <w:rPr>
        <w:i/>
        <w:sz w:val="21"/>
      </w:rPr>
      <w:t xml:space="preserve">  </w:t>
    </w:r>
    <w:r w:rsidRPr="00417B01">
      <w:rPr>
        <w:i/>
        <w:sz w:val="21"/>
      </w:rPr>
      <w:t>Philippine Journal of Linguistics</w:t>
    </w:r>
    <w:r w:rsidRPr="00CC4B67">
      <w:rPr>
        <w:sz w:val="21"/>
      </w:rPr>
      <w:t xml:space="preserve"> (Volume </w:t>
    </w:r>
    <w:r>
      <w:rPr>
        <w:sz w:val="21"/>
      </w:rPr>
      <w:t>X</w:t>
    </w:r>
    <w:r w:rsidRPr="00CC4B67">
      <w:rPr>
        <w:sz w:val="21"/>
      </w:rPr>
      <w:t xml:space="preserve">, </w:t>
    </w:r>
    <w:r>
      <w:rPr>
        <w:sz w:val="21"/>
      </w:rPr>
      <w:t xml:space="preserve">December </w:t>
    </w:r>
    <w:r w:rsidRPr="00CC4B67">
      <w:rPr>
        <w:sz w:val="21"/>
      </w:rPr>
      <w:t>20</w:t>
    </w:r>
    <w:r>
      <w:rPr>
        <w:sz w:val="21"/>
      </w:rPr>
      <w:t>XX</w:t>
    </w:r>
    <w:r w:rsidRPr="00CC4B67">
      <w:rPr>
        <w:sz w:val="21"/>
      </w:rPr>
      <w:t>)</w:t>
    </w:r>
  </w:p>
  <w:p w14:paraId="60AE1BBE" w14:textId="77777777" w:rsidR="00C72AAD" w:rsidRDefault="00C72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FD113" w14:textId="77777777" w:rsidR="0015540E" w:rsidRDefault="0015540E" w:rsidP="002D4260">
      <w:r>
        <w:separator/>
      </w:r>
    </w:p>
  </w:footnote>
  <w:footnote w:type="continuationSeparator" w:id="0">
    <w:p w14:paraId="47D511D5" w14:textId="77777777" w:rsidR="0015540E" w:rsidRDefault="0015540E" w:rsidP="002D4260">
      <w:r>
        <w:continuationSeparator/>
      </w:r>
    </w:p>
  </w:footnote>
  <w:footnote w:type="continuationNotice" w:id="1">
    <w:p w14:paraId="04E0C3D4" w14:textId="77777777" w:rsidR="0015540E" w:rsidRDefault="0015540E" w:rsidP="002D42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54B7A" w14:textId="3E4F5D2D" w:rsidR="002D4260" w:rsidRPr="002D4260" w:rsidRDefault="002D4260" w:rsidP="002D4260">
    <w:pPr>
      <w:pStyle w:val="Header"/>
      <w:jc w:val="center"/>
      <w:rPr>
        <w:b/>
        <w:i/>
      </w:rPr>
    </w:pPr>
    <w:r w:rsidRPr="002D4260">
      <w:rPr>
        <w:b/>
        <w:i/>
      </w:rPr>
      <w:t>Short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2283" w14:textId="77777777" w:rsidR="005F2EF7" w:rsidRDefault="005F2EF7" w:rsidP="00C77F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8D8">
      <w:rPr>
        <w:rStyle w:val="PageNumber"/>
        <w:noProof/>
      </w:rPr>
      <w:t>3</w:t>
    </w:r>
    <w:r>
      <w:rPr>
        <w:rStyle w:val="PageNumber"/>
      </w:rPr>
      <w:fldChar w:fldCharType="end"/>
    </w:r>
  </w:p>
  <w:p w14:paraId="16839CAC" w14:textId="7B7B4F6D" w:rsidR="005F2EF7" w:rsidRPr="009F606D" w:rsidRDefault="002D4260" w:rsidP="00C77F37">
    <w:pPr>
      <w:pStyle w:val="Header"/>
      <w:pBdr>
        <w:top w:val="none" w:sz="0" w:space="0" w:color="auto"/>
        <w:left w:val="none" w:sz="0" w:space="0" w:color="auto"/>
        <w:bottom w:val="none" w:sz="0" w:space="0" w:color="auto"/>
        <w:right w:val="none" w:sz="0" w:space="0" w:color="auto"/>
        <w:between w:val="none" w:sz="0" w:space="0" w:color="auto"/>
        <w:bar w:val="none" w:sz="0" w:color="auto"/>
      </w:pBdr>
      <w:ind w:right="360"/>
      <w:jc w:val="center"/>
      <w:rPr>
        <w:b/>
        <w:i/>
      </w:rPr>
    </w:pPr>
    <w:r>
      <w:rPr>
        <w:b/>
        <w:i/>
      </w:rPr>
      <w:t>De La Cruz, 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50A7" w14:textId="00219A34" w:rsidR="002D4260" w:rsidRPr="002D4260" w:rsidRDefault="00C72AAD" w:rsidP="002D4260">
    <w:pPr>
      <w:pStyle w:val="Header"/>
      <w:jc w:val="center"/>
      <w:rPr>
        <w:b/>
        <w:i/>
      </w:rPr>
    </w:pPr>
    <w:r>
      <w:rPr>
        <w:b/>
        <w:i/>
      </w:rPr>
      <w:t>De la Cruz, 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049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00B9E"/>
    <w:multiLevelType w:val="hybridMultilevel"/>
    <w:tmpl w:val="A71A1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A7986"/>
    <w:multiLevelType w:val="hybridMultilevel"/>
    <w:tmpl w:val="62E4424A"/>
    <w:lvl w:ilvl="0" w:tplc="4C00E934">
      <w:start w:val="15"/>
      <w:numFmt w:val="decimal"/>
      <w:lvlText w:val="%1)"/>
      <w:lvlJc w:val="left"/>
      <w:pPr>
        <w:ind w:left="1037" w:hanging="605"/>
      </w:pPr>
      <w:rPr>
        <w:rFonts w:ascii="Times New Roman" w:hAnsi="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E4896"/>
    <w:multiLevelType w:val="hybridMultilevel"/>
    <w:tmpl w:val="B9CEA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77F88"/>
    <w:multiLevelType w:val="multilevel"/>
    <w:tmpl w:val="BE2E6962"/>
    <w:styleLink w:val="ImportedStyle1"/>
    <w:lvl w:ilvl="0">
      <w:start w:val="1"/>
      <w:numFmt w:val="decimal"/>
      <w:lvlText w:val="%1"/>
      <w:lvlJc w:val="left"/>
      <w:pPr>
        <w:ind w:left="432" w:hanging="432"/>
      </w:pPr>
      <w:rPr>
        <w:rFonts w:ascii="Times New Roman Bold" w:hAnsi="Times New Roman Bold" w:hint="default"/>
        <w:b/>
        <w:bCs/>
        <w:i w:val="0"/>
        <w:iCs w:val="0"/>
        <w:caps w:val="0"/>
        <w:smallCaps w:val="0"/>
        <w:strike w:val="0"/>
        <w:dstrike w:val="0"/>
        <w:color w:val="auto"/>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792997"/>
    <w:multiLevelType w:val="hybridMultilevel"/>
    <w:tmpl w:val="5BC29320"/>
    <w:lvl w:ilvl="0" w:tplc="AB4C1EAA">
      <w:start w:val="1"/>
      <w:numFmt w:val="lowerLetter"/>
      <w:lvlText w:val="%1."/>
      <w:lvlJc w:val="left"/>
      <w:pPr>
        <w:ind w:left="34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50714A">
      <w:start w:val="1"/>
      <w:numFmt w:val="lowerLetter"/>
      <w:lvlText w:val="%2."/>
      <w:lvlJc w:val="left"/>
      <w:pPr>
        <w:ind w:left="106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20E9CA">
      <w:start w:val="1"/>
      <w:numFmt w:val="lowerRoman"/>
      <w:lvlText w:val="%3."/>
      <w:lvlJc w:val="left"/>
      <w:pPr>
        <w:ind w:left="1782"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26C764">
      <w:start w:val="1"/>
      <w:numFmt w:val="decimal"/>
      <w:lvlText w:val="%4."/>
      <w:lvlJc w:val="left"/>
      <w:pPr>
        <w:ind w:left="250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7EA0DA">
      <w:start w:val="1"/>
      <w:numFmt w:val="lowerLetter"/>
      <w:lvlText w:val="%5."/>
      <w:lvlJc w:val="left"/>
      <w:pPr>
        <w:ind w:left="322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BAC26C">
      <w:start w:val="1"/>
      <w:numFmt w:val="lowerRoman"/>
      <w:lvlText w:val="%6."/>
      <w:lvlJc w:val="left"/>
      <w:pPr>
        <w:ind w:left="3942"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90BC84">
      <w:start w:val="1"/>
      <w:numFmt w:val="decimal"/>
      <w:lvlText w:val="%7."/>
      <w:lvlJc w:val="left"/>
      <w:pPr>
        <w:ind w:left="466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8425CA">
      <w:start w:val="1"/>
      <w:numFmt w:val="lowerLetter"/>
      <w:lvlText w:val="%8."/>
      <w:lvlJc w:val="left"/>
      <w:pPr>
        <w:ind w:left="538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46D9CE">
      <w:start w:val="1"/>
      <w:numFmt w:val="lowerRoman"/>
      <w:lvlText w:val="%9."/>
      <w:lvlJc w:val="left"/>
      <w:pPr>
        <w:ind w:left="6102"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69B1B12"/>
    <w:multiLevelType w:val="hybridMultilevel"/>
    <w:tmpl w:val="82AA304C"/>
    <w:lvl w:ilvl="0" w:tplc="045C9DE8">
      <w:start w:val="1"/>
      <w:numFmt w:val="decimal"/>
      <w:lvlText w:val="%1."/>
      <w:lvlJc w:val="left"/>
      <w:pPr>
        <w:tabs>
          <w:tab w:val="num" w:pos="720"/>
        </w:tabs>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14447"/>
    <w:multiLevelType w:val="multilevel"/>
    <w:tmpl w:val="4A2A7A2A"/>
    <w:lvl w:ilvl="0">
      <w:start w:val="1"/>
      <w:numFmt w:val="decimal"/>
      <w:lvlText w:val="%1"/>
      <w:lvlJc w:val="left"/>
      <w:pPr>
        <w:ind w:left="432" w:hanging="432"/>
      </w:pPr>
      <w:rPr>
        <w:rFonts w:ascii="Times New Roman Bold" w:hAnsi="Times New Roman Bold" w:hint="default"/>
        <w:color w:val="000000" w:themeColor="text1"/>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DE362FD"/>
    <w:multiLevelType w:val="multilevel"/>
    <w:tmpl w:val="FF8ADBF8"/>
    <w:lvl w:ilvl="0">
      <w:start w:val="1"/>
      <w:numFmt w:val="decimal"/>
      <w:lvlText w:val="%1"/>
      <w:lvlJc w:val="left"/>
      <w:pPr>
        <w:ind w:left="432" w:hanging="432"/>
      </w:pPr>
      <w:rPr>
        <w:rFonts w:ascii="Times New Roman Bold" w:hAnsi="Times New Roman Bold" w:hint="default"/>
        <w:b/>
        <w:bCs/>
        <w:i w:val="0"/>
        <w:iCs w:val="0"/>
        <w:color w:val="auto"/>
        <w:sz w:val="24"/>
        <w:szCs w:val="24"/>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5592A88"/>
    <w:multiLevelType w:val="hybridMultilevel"/>
    <w:tmpl w:val="20F493A2"/>
    <w:lvl w:ilvl="0" w:tplc="238644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B7946"/>
    <w:multiLevelType w:val="multilevel"/>
    <w:tmpl w:val="C54694DE"/>
    <w:lvl w:ilvl="0">
      <w:start w:val="6"/>
      <w:numFmt w:val="decimal"/>
      <w:lvlText w:val="%1"/>
      <w:lvlJc w:val="left"/>
      <w:pPr>
        <w:ind w:left="432" w:hanging="432"/>
      </w:pPr>
      <w:rPr>
        <w:rFonts w:ascii="Times New Roman Bold" w:hAnsi="Times New Roman Bold" w:hint="default"/>
        <w:b/>
        <w:bCs/>
        <w:i w:val="0"/>
        <w:iCs w:val="0"/>
        <w:color w:val="auto"/>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98F4177"/>
    <w:multiLevelType w:val="hybridMultilevel"/>
    <w:tmpl w:val="7F7EA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75287"/>
    <w:multiLevelType w:val="multilevel"/>
    <w:tmpl w:val="88A8F636"/>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B554DBC"/>
    <w:multiLevelType w:val="hybridMultilevel"/>
    <w:tmpl w:val="EC9CB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B86CC9"/>
    <w:multiLevelType w:val="multilevel"/>
    <w:tmpl w:val="14F8AB22"/>
    <w:styleLink w:val="ImportedStyle2"/>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50" w:hanging="45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900"/>
        </w:tabs>
        <w:ind w:left="540" w:hanging="5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98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720"/>
          <w:tab w:val="left" w:pos="198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720"/>
          <w:tab w:val="left" w:pos="198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98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98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98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E457E66"/>
    <w:multiLevelType w:val="multilevel"/>
    <w:tmpl w:val="128A7A0C"/>
    <w:lvl w:ilvl="0">
      <w:start w:val="1"/>
      <w:numFmt w:val="decimal"/>
      <w:pStyle w:val="norma"/>
      <w:lvlText w:val="%1"/>
      <w:lvlJc w:val="left"/>
      <w:pPr>
        <w:ind w:left="432" w:hanging="432"/>
      </w:pPr>
      <w:rPr>
        <w:rFonts w:ascii="Times New Roman Bold" w:hAnsi="Times New Roman Bold" w:hint="default"/>
        <w:color w:val="000000" w:themeColor="text1"/>
        <w:sz w:val="24"/>
        <w:szCs w:val="24"/>
      </w:rPr>
    </w:lvl>
    <w:lvl w:ilvl="1">
      <w:start w:val="1"/>
      <w:numFmt w:val="decimal"/>
      <w:pStyle w:val="header3"/>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85C113F"/>
    <w:multiLevelType w:val="multilevel"/>
    <w:tmpl w:val="6F9625EA"/>
    <w:lvl w:ilvl="0">
      <w:start w:val="1"/>
      <w:numFmt w:val="decimal"/>
      <w:lvlText w:val="%1"/>
      <w:lvlJc w:val="left"/>
      <w:pPr>
        <w:ind w:left="432" w:hanging="432"/>
      </w:pPr>
      <w:rPr>
        <w:rFonts w:ascii="Times New Roman" w:hAnsi="Times New Roman" w:hint="default"/>
        <w:b/>
        <w:bCs/>
        <w:i w:val="0"/>
        <w:iCs w:val="0"/>
        <w:color w:val="000000" w:themeColor="text1"/>
        <w:sz w:val="24"/>
        <w:szCs w:val="24"/>
      </w:rPr>
    </w:lvl>
    <w:lvl w:ilvl="1">
      <w:start w:val="1"/>
      <w:numFmt w:val="none"/>
      <w:lvlText w:val="1.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2511699"/>
    <w:multiLevelType w:val="multilevel"/>
    <w:tmpl w:val="3E189BF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A53DE1"/>
    <w:multiLevelType w:val="hybridMultilevel"/>
    <w:tmpl w:val="588E9F5A"/>
    <w:lvl w:ilvl="0" w:tplc="B0EAAE02">
      <w:start w:val="1"/>
      <w:numFmt w:val="lowerLetter"/>
      <w:lvlText w:val="%1."/>
      <w:lvlJc w:val="left"/>
      <w:pPr>
        <w:ind w:left="34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364446">
      <w:start w:val="1"/>
      <w:numFmt w:val="lowerLetter"/>
      <w:lvlText w:val="%2."/>
      <w:lvlJc w:val="left"/>
      <w:pPr>
        <w:ind w:left="106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800398">
      <w:start w:val="1"/>
      <w:numFmt w:val="lowerRoman"/>
      <w:lvlText w:val="%3."/>
      <w:lvlJc w:val="left"/>
      <w:pPr>
        <w:ind w:left="1782"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18C8D4">
      <w:start w:val="1"/>
      <w:numFmt w:val="decimal"/>
      <w:lvlText w:val="%4."/>
      <w:lvlJc w:val="left"/>
      <w:pPr>
        <w:ind w:left="250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2642E8">
      <w:start w:val="1"/>
      <w:numFmt w:val="lowerLetter"/>
      <w:lvlText w:val="%5."/>
      <w:lvlJc w:val="left"/>
      <w:pPr>
        <w:ind w:left="322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8E9B4A">
      <w:start w:val="1"/>
      <w:numFmt w:val="lowerRoman"/>
      <w:lvlText w:val="%6."/>
      <w:lvlJc w:val="left"/>
      <w:pPr>
        <w:ind w:left="3942"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DCF7EC">
      <w:start w:val="1"/>
      <w:numFmt w:val="decimal"/>
      <w:lvlText w:val="%7."/>
      <w:lvlJc w:val="left"/>
      <w:pPr>
        <w:ind w:left="466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28AA28">
      <w:start w:val="1"/>
      <w:numFmt w:val="lowerLetter"/>
      <w:lvlText w:val="%8."/>
      <w:lvlJc w:val="left"/>
      <w:pPr>
        <w:ind w:left="538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2B944">
      <w:start w:val="1"/>
      <w:numFmt w:val="lowerRoman"/>
      <w:lvlText w:val="%9."/>
      <w:lvlJc w:val="left"/>
      <w:pPr>
        <w:ind w:left="6102"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7D80EAC"/>
    <w:multiLevelType w:val="multilevel"/>
    <w:tmpl w:val="8B6C4950"/>
    <w:lvl w:ilvl="0">
      <w:start w:val="1"/>
      <w:numFmt w:val="decimal"/>
      <w:lvlText w:val="%1"/>
      <w:lvlJc w:val="left"/>
      <w:pPr>
        <w:ind w:left="432" w:hanging="432"/>
      </w:pPr>
      <w:rPr>
        <w:rFonts w:ascii="Times New Roman" w:hAnsi="Times New Roman" w:hint="default"/>
        <w:b/>
        <w:bCs/>
        <w:i w:val="0"/>
        <w:iCs w:val="0"/>
        <w:color w:val="000000" w:themeColor="text1"/>
        <w:sz w:val="24"/>
        <w:szCs w:val="24"/>
      </w:rPr>
    </w:lvl>
    <w:lvl w:ilvl="1">
      <w:start w:val="2"/>
      <w:numFmt w:val="none"/>
      <w:lvlText w:val="%11.1"/>
      <w:lvlJc w:val="left"/>
      <w:pPr>
        <w:ind w:left="576" w:hanging="576"/>
      </w:pPr>
      <w:rPr>
        <w:rFonts w:ascii="Times New Roman" w:hAnsi="Times New Roman" w:hint="default"/>
        <w:color w:val="000000" w:themeColor="text1"/>
        <w:sz w:val="24"/>
        <w:szCs w:val="24"/>
      </w:rPr>
    </w:lvl>
    <w:lvl w:ilvl="2">
      <w:start w:val="1"/>
      <w:numFmt w:val="decimal"/>
      <w:lvlText w:val="%1%2.%3.1"/>
      <w:lvlJc w:val="left"/>
      <w:pPr>
        <w:ind w:left="720" w:hanging="720"/>
      </w:pPr>
      <w:rPr>
        <w:rFonts w:ascii="Times New Roman" w:hAnsi="Times New Roman" w:hint="default"/>
        <w:color w:val="000000" w:themeColor="text1"/>
        <w:sz w:val="24"/>
        <w:szCs w:val="24"/>
      </w:rPr>
    </w:lvl>
    <w:lvl w:ilvl="3">
      <w:start w:val="1"/>
      <w:numFmt w:val="none"/>
      <w:lvlText w:val="1.1.1.1"/>
      <w:lvlJc w:val="left"/>
      <w:pPr>
        <w:ind w:left="864" w:hanging="864"/>
      </w:pPr>
      <w:rPr>
        <w:rFonts w:hint="default"/>
      </w:rPr>
    </w:lvl>
    <w:lvl w:ilvl="4">
      <w:start w:val="1"/>
      <w:numFmt w:val="decimal"/>
      <w:lvlText w:val="%1.%2%3.%4.%5.1.1"/>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F847977"/>
    <w:multiLevelType w:val="hybridMultilevel"/>
    <w:tmpl w:val="1EF86FD6"/>
    <w:lvl w:ilvl="0" w:tplc="EFDC9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A52795"/>
    <w:multiLevelType w:val="hybridMultilevel"/>
    <w:tmpl w:val="B6C061D0"/>
    <w:lvl w:ilvl="0" w:tplc="39BC3588">
      <w:start w:val="1"/>
      <w:numFmt w:val="decimal"/>
      <w:lvlText w:val="%1."/>
      <w:lvlJc w:val="left"/>
      <w:pPr>
        <w:ind w:left="360" w:hanging="360"/>
      </w:pPr>
      <w:rPr>
        <w:rFonts w:hint="default"/>
        <w:b w:val="0"/>
        <w:bCs w:val="0"/>
        <w:i w:val="0"/>
        <w:iCs w:val="0"/>
      </w:rPr>
    </w:lvl>
    <w:lvl w:ilvl="1" w:tplc="2CC8602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B26E0F"/>
    <w:multiLevelType w:val="multilevel"/>
    <w:tmpl w:val="1B12E63C"/>
    <w:lvl w:ilvl="0">
      <w:start w:val="1"/>
      <w:numFmt w:val="decimal"/>
      <w:lvlText w:val="%1"/>
      <w:lvlJc w:val="left"/>
      <w:pPr>
        <w:ind w:left="432" w:hanging="432"/>
      </w:pPr>
      <w:rPr>
        <w:rFonts w:ascii="Times New Roman Bold" w:hAnsi="Times New Roman Bold" w:hint="default"/>
        <w:b/>
        <w:bCs/>
        <w:i w:val="0"/>
        <w:iCs w:val="0"/>
        <w:color w:val="000000" w:themeColor="text1"/>
        <w:sz w:val="24"/>
        <w:szCs w:val="24"/>
        <w:u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7D736E7"/>
    <w:multiLevelType w:val="multilevel"/>
    <w:tmpl w:val="C8A4DD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2B2A8C"/>
    <w:multiLevelType w:val="hybridMultilevel"/>
    <w:tmpl w:val="D06E83EA"/>
    <w:lvl w:ilvl="0" w:tplc="43E8A0A6">
      <w:start w:val="1"/>
      <w:numFmt w:val="lowerLetter"/>
      <w:lvlText w:val="%1."/>
      <w:lvlJc w:val="left"/>
      <w:pPr>
        <w:ind w:left="34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CA3CDE">
      <w:start w:val="1"/>
      <w:numFmt w:val="lowerLetter"/>
      <w:lvlText w:val="%2."/>
      <w:lvlJc w:val="left"/>
      <w:pPr>
        <w:ind w:left="106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B05094">
      <w:start w:val="1"/>
      <w:numFmt w:val="lowerRoman"/>
      <w:lvlText w:val="%3."/>
      <w:lvlJc w:val="left"/>
      <w:pPr>
        <w:ind w:left="1782"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27098">
      <w:start w:val="1"/>
      <w:numFmt w:val="decimal"/>
      <w:lvlText w:val="%4."/>
      <w:lvlJc w:val="left"/>
      <w:pPr>
        <w:ind w:left="250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72FF8A">
      <w:start w:val="1"/>
      <w:numFmt w:val="lowerLetter"/>
      <w:lvlText w:val="%5."/>
      <w:lvlJc w:val="left"/>
      <w:pPr>
        <w:ind w:left="322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0A11C6">
      <w:start w:val="1"/>
      <w:numFmt w:val="lowerRoman"/>
      <w:lvlText w:val="%6."/>
      <w:lvlJc w:val="left"/>
      <w:pPr>
        <w:ind w:left="3942"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3A326E">
      <w:start w:val="1"/>
      <w:numFmt w:val="decimal"/>
      <w:lvlText w:val="%7."/>
      <w:lvlJc w:val="left"/>
      <w:pPr>
        <w:ind w:left="466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4459E8">
      <w:start w:val="1"/>
      <w:numFmt w:val="lowerLetter"/>
      <w:lvlText w:val="%8."/>
      <w:lvlJc w:val="left"/>
      <w:pPr>
        <w:ind w:left="538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F074E4">
      <w:start w:val="1"/>
      <w:numFmt w:val="lowerRoman"/>
      <w:lvlText w:val="%9."/>
      <w:lvlJc w:val="left"/>
      <w:pPr>
        <w:ind w:left="6102"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1D5275D"/>
    <w:multiLevelType w:val="multilevel"/>
    <w:tmpl w:val="402891AA"/>
    <w:lvl w:ilvl="0">
      <w:start w:val="1"/>
      <w:numFmt w:val="decimal"/>
      <w:lvlText w:val="%1."/>
      <w:lvlJc w:val="left"/>
      <w:pPr>
        <w:ind w:left="720" w:hanging="360"/>
      </w:pPr>
      <w:rPr>
        <w:rFonts w:ascii="Times New Roman" w:eastAsia="Times New Roman" w:hAnsi="Times New Roman" w:cs="Times New Roman" w:hint="default"/>
        <w:sz w:val="24"/>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3B52C5"/>
    <w:multiLevelType w:val="multilevel"/>
    <w:tmpl w:val="BE2E6962"/>
    <w:numStyleLink w:val="ImportedStyle1"/>
  </w:abstractNum>
  <w:abstractNum w:abstractNumId="27" w15:restartNumberingAfterBreak="0">
    <w:nsid w:val="5CBC6559"/>
    <w:multiLevelType w:val="hybridMultilevel"/>
    <w:tmpl w:val="9AFADC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5060C0"/>
    <w:multiLevelType w:val="hybridMultilevel"/>
    <w:tmpl w:val="EAF08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4347"/>
    <w:multiLevelType w:val="multilevel"/>
    <w:tmpl w:val="DE9E14A6"/>
    <w:lvl w:ilvl="0">
      <w:start w:val="15"/>
      <w:numFmt w:val="decimal"/>
      <w:pStyle w:val="Heading1"/>
      <w:lvlText w:val="%1"/>
      <w:lvlJc w:val="left"/>
      <w:pPr>
        <w:ind w:left="432" w:hanging="432"/>
      </w:pPr>
      <w:rPr>
        <w:rFonts w:ascii="Times New Roman" w:hAnsi="Times New Roman" w:hint="default"/>
        <w:b/>
        <w:bCs/>
        <w:i w:val="0"/>
        <w:iCs w:val="0"/>
        <w:color w:val="000000" w:themeColor="text1"/>
        <w:sz w:val="24"/>
        <w:szCs w:val="24"/>
      </w:rPr>
    </w:lvl>
    <w:lvl w:ilvl="1">
      <w:start w:val="1"/>
      <w:numFmt w:val="none"/>
      <w:pStyle w:val="Heading2"/>
      <w:lvlText w:val="1.1"/>
      <w:lvlJc w:val="left"/>
      <w:pPr>
        <w:ind w:left="576" w:hanging="576"/>
      </w:pPr>
      <w:rPr>
        <w:rFonts w:ascii="Times New Roman" w:hAnsi="Times New Roman" w:hint="default"/>
        <w:color w:val="000000" w:themeColor="text1"/>
        <w:sz w:val="24"/>
        <w:szCs w:val="24"/>
      </w:rPr>
    </w:lvl>
    <w:lvl w:ilvl="2">
      <w:start w:val="1"/>
      <w:numFmt w:val="decimal"/>
      <w:pStyle w:val="Heading3"/>
      <w:lvlText w:val="%1%2.%3.1"/>
      <w:lvlJc w:val="left"/>
      <w:pPr>
        <w:ind w:left="720" w:hanging="720"/>
      </w:pPr>
      <w:rPr>
        <w:rFonts w:ascii="Times New Roman" w:hAnsi="Times New Roman" w:hint="default"/>
        <w:color w:val="000000" w:themeColor="text1"/>
        <w:sz w:val="24"/>
        <w:szCs w:val="24"/>
      </w:rPr>
    </w:lvl>
    <w:lvl w:ilvl="3">
      <w:start w:val="1"/>
      <w:numFmt w:val="none"/>
      <w:pStyle w:val="Heading4"/>
      <w:lvlText w:val="1.1.1.1"/>
      <w:lvlJc w:val="left"/>
      <w:pPr>
        <w:ind w:left="864" w:hanging="864"/>
      </w:pPr>
      <w:rPr>
        <w:rFonts w:hint="default"/>
      </w:rPr>
    </w:lvl>
    <w:lvl w:ilvl="4">
      <w:start w:val="1"/>
      <w:numFmt w:val="decimal"/>
      <w:pStyle w:val="Heading5"/>
      <w:lvlText w:val="%1.%2%3.%4.%5.1.1"/>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63EA64A7"/>
    <w:multiLevelType w:val="hybridMultilevel"/>
    <w:tmpl w:val="40B81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6C7D22"/>
    <w:multiLevelType w:val="hybridMultilevel"/>
    <w:tmpl w:val="B50AC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549DD"/>
    <w:multiLevelType w:val="hybridMultilevel"/>
    <w:tmpl w:val="CE9CC868"/>
    <w:lvl w:ilvl="0" w:tplc="793441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A686A37"/>
    <w:multiLevelType w:val="hybridMultilevel"/>
    <w:tmpl w:val="9236AEC2"/>
    <w:lvl w:ilvl="0" w:tplc="03F8BC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910FC0"/>
    <w:multiLevelType w:val="hybridMultilevel"/>
    <w:tmpl w:val="BCA69EF8"/>
    <w:lvl w:ilvl="0" w:tplc="330E192E">
      <w:start w:val="1"/>
      <w:numFmt w:val="lowerLetter"/>
      <w:lvlText w:val="%1."/>
      <w:lvlJc w:val="left"/>
      <w:pPr>
        <w:ind w:left="34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06233E">
      <w:start w:val="1"/>
      <w:numFmt w:val="lowerLetter"/>
      <w:lvlText w:val="%2."/>
      <w:lvlJc w:val="left"/>
      <w:pPr>
        <w:ind w:left="106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0E3408">
      <w:start w:val="1"/>
      <w:numFmt w:val="lowerRoman"/>
      <w:lvlText w:val="%3."/>
      <w:lvlJc w:val="left"/>
      <w:pPr>
        <w:ind w:left="1782"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D0AEB8">
      <w:start w:val="1"/>
      <w:numFmt w:val="decimal"/>
      <w:lvlText w:val="%4."/>
      <w:lvlJc w:val="left"/>
      <w:pPr>
        <w:ind w:left="250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4A5BA">
      <w:start w:val="1"/>
      <w:numFmt w:val="lowerLetter"/>
      <w:lvlText w:val="%5."/>
      <w:lvlJc w:val="left"/>
      <w:pPr>
        <w:ind w:left="322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A8E42">
      <w:start w:val="1"/>
      <w:numFmt w:val="lowerRoman"/>
      <w:lvlText w:val="%6."/>
      <w:lvlJc w:val="left"/>
      <w:pPr>
        <w:ind w:left="3942"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F0A250">
      <w:start w:val="1"/>
      <w:numFmt w:val="decimal"/>
      <w:lvlText w:val="%7."/>
      <w:lvlJc w:val="left"/>
      <w:pPr>
        <w:ind w:left="466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3A4376">
      <w:start w:val="1"/>
      <w:numFmt w:val="lowerLetter"/>
      <w:lvlText w:val="%8."/>
      <w:lvlJc w:val="left"/>
      <w:pPr>
        <w:ind w:left="5382" w:hanging="34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5EF734">
      <w:start w:val="1"/>
      <w:numFmt w:val="lowerRoman"/>
      <w:lvlText w:val="%9."/>
      <w:lvlJc w:val="left"/>
      <w:pPr>
        <w:ind w:left="6102" w:hanging="27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ECD5F3B"/>
    <w:multiLevelType w:val="hybridMultilevel"/>
    <w:tmpl w:val="51F0E020"/>
    <w:lvl w:ilvl="0" w:tplc="A8929010">
      <w:start w:val="1"/>
      <w:numFmt w:val="lowerLetter"/>
      <w:lvlText w:val="%1."/>
      <w:lvlJc w:val="left"/>
      <w:pPr>
        <w:ind w:left="323" w:hanging="32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6C1224">
      <w:start w:val="1"/>
      <w:numFmt w:val="lowerLetter"/>
      <w:lvlText w:val="%2."/>
      <w:lvlJc w:val="left"/>
      <w:pPr>
        <w:ind w:left="1043" w:hanging="32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7A6A64">
      <w:start w:val="1"/>
      <w:numFmt w:val="lowerRoman"/>
      <w:lvlText w:val="%3."/>
      <w:lvlJc w:val="left"/>
      <w:pPr>
        <w:ind w:left="1763" w:hanging="25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00D442">
      <w:start w:val="1"/>
      <w:numFmt w:val="decimal"/>
      <w:lvlText w:val="%4."/>
      <w:lvlJc w:val="left"/>
      <w:pPr>
        <w:ind w:left="2483" w:hanging="32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327A0C">
      <w:start w:val="1"/>
      <w:numFmt w:val="lowerLetter"/>
      <w:lvlText w:val="%5."/>
      <w:lvlJc w:val="left"/>
      <w:pPr>
        <w:ind w:left="3203" w:hanging="32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A40BDA">
      <w:start w:val="1"/>
      <w:numFmt w:val="lowerRoman"/>
      <w:lvlText w:val="%6."/>
      <w:lvlJc w:val="left"/>
      <w:pPr>
        <w:ind w:left="3923" w:hanging="25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0D3E8">
      <w:start w:val="1"/>
      <w:numFmt w:val="decimal"/>
      <w:lvlText w:val="%7."/>
      <w:lvlJc w:val="left"/>
      <w:pPr>
        <w:ind w:left="4643" w:hanging="32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D412D6">
      <w:start w:val="1"/>
      <w:numFmt w:val="lowerLetter"/>
      <w:lvlText w:val="%8."/>
      <w:lvlJc w:val="left"/>
      <w:pPr>
        <w:ind w:left="5363" w:hanging="32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94A02C">
      <w:start w:val="1"/>
      <w:numFmt w:val="lowerRoman"/>
      <w:lvlText w:val="%9."/>
      <w:lvlJc w:val="left"/>
      <w:pPr>
        <w:ind w:left="6083" w:hanging="25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14"/>
  </w:num>
  <w:num w:numId="3">
    <w:abstractNumId w:val="24"/>
  </w:num>
  <w:num w:numId="4">
    <w:abstractNumId w:val="34"/>
    <w:lvlOverride w:ilvl="0">
      <w:startOverride w:val="2"/>
    </w:lvlOverride>
  </w:num>
  <w:num w:numId="5">
    <w:abstractNumId w:val="5"/>
    <w:lvlOverride w:ilvl="0">
      <w:startOverride w:val="3"/>
    </w:lvlOverride>
  </w:num>
  <w:num w:numId="6">
    <w:abstractNumId w:val="18"/>
    <w:lvlOverride w:ilvl="0">
      <w:startOverride w:val="4"/>
    </w:lvlOverride>
  </w:num>
  <w:num w:numId="7">
    <w:abstractNumId w:val="35"/>
    <w:lvlOverride w:ilvl="0">
      <w:startOverride w:val="5"/>
    </w:lvlOverride>
  </w:num>
  <w:num w:numId="8">
    <w:abstractNumId w:val="10"/>
  </w:num>
  <w:num w:numId="9">
    <w:abstractNumId w:val="8"/>
  </w:num>
  <w:num w:numId="10">
    <w:abstractNumId w:val="25"/>
  </w:num>
  <w:num w:numId="11">
    <w:abstractNumId w:val="28"/>
  </w:num>
  <w:num w:numId="12">
    <w:abstractNumId w:val="32"/>
  </w:num>
  <w:num w:numId="13">
    <w:abstractNumId w:val="17"/>
  </w:num>
  <w:num w:numId="14">
    <w:abstractNumId w:val="21"/>
  </w:num>
  <w:num w:numId="15">
    <w:abstractNumId w:val="22"/>
  </w:num>
  <w:num w:numId="16">
    <w:abstractNumId w:val="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 w:numId="20">
    <w:abstractNumId w:val="11"/>
  </w:num>
  <w:num w:numId="21">
    <w:abstractNumId w:val="20"/>
  </w:num>
  <w:num w:numId="22">
    <w:abstractNumId w:val="33"/>
  </w:num>
  <w:num w:numId="23">
    <w:abstractNumId w:val="31"/>
  </w:num>
  <w:num w:numId="24">
    <w:abstractNumId w:val="23"/>
  </w:num>
  <w:num w:numId="25">
    <w:abstractNumId w:val="26"/>
    <w:lvlOverride w:ilvl="0">
      <w:lvl w:ilvl="0">
        <w:start w:val="15"/>
        <w:numFmt w:val="decimal"/>
        <w:lvlText w:val="%1)"/>
        <w:lvlJc w:val="left"/>
        <w:pPr>
          <w:ind w:left="1037" w:hanging="605"/>
        </w:pPr>
        <w:rPr>
          <w:rFonts w:ascii="Times New Roman" w:hAnsi="Times New Roman" w:hint="default"/>
          <w:b w:val="0"/>
          <w:bCs w:val="0"/>
          <w:i w:val="0"/>
          <w:iCs w:val="0"/>
          <w:color w:val="auto"/>
          <w:sz w:val="24"/>
          <w:szCs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6">
    <w:abstractNumId w:val="2"/>
  </w:num>
  <w:num w:numId="27">
    <w:abstractNumId w:val="15"/>
  </w:num>
  <w:num w:numId="28">
    <w:abstractNumId w:val="7"/>
  </w:num>
  <w:num w:numId="29">
    <w:abstractNumId w:val="16"/>
  </w:num>
  <w:num w:numId="30">
    <w:abstractNumId w:val="29"/>
  </w:num>
  <w:num w:numId="31">
    <w:abstractNumId w:val="19"/>
  </w:num>
  <w:num w:numId="32">
    <w:abstractNumId w:val="0"/>
  </w:num>
  <w:num w:numId="33">
    <w:abstractNumId w:val="12"/>
  </w:num>
  <w:num w:numId="34">
    <w:abstractNumId w:val="13"/>
  </w:num>
  <w:num w:numId="35">
    <w:abstractNumId w:val="27"/>
  </w:num>
  <w:num w:numId="36">
    <w:abstractNumId w:val="1"/>
  </w:num>
  <w:num w:numId="37">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proofState w:spelling="clean" w:grammar="clean"/>
  <w:defaultTabStop w:val="720"/>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6F5"/>
    <w:rsid w:val="00002BBA"/>
    <w:rsid w:val="000046D0"/>
    <w:rsid w:val="0000475A"/>
    <w:rsid w:val="00010419"/>
    <w:rsid w:val="00012E5A"/>
    <w:rsid w:val="0001363A"/>
    <w:rsid w:val="00014FD7"/>
    <w:rsid w:val="00015EE7"/>
    <w:rsid w:val="00016DA7"/>
    <w:rsid w:val="00021CC1"/>
    <w:rsid w:val="00025479"/>
    <w:rsid w:val="000264EB"/>
    <w:rsid w:val="0002708E"/>
    <w:rsid w:val="000273D9"/>
    <w:rsid w:val="00032C47"/>
    <w:rsid w:val="00033A10"/>
    <w:rsid w:val="00034AF8"/>
    <w:rsid w:val="00052DE5"/>
    <w:rsid w:val="00053712"/>
    <w:rsid w:val="00055CA6"/>
    <w:rsid w:val="00057C56"/>
    <w:rsid w:val="0006240C"/>
    <w:rsid w:val="000634C4"/>
    <w:rsid w:val="000634C6"/>
    <w:rsid w:val="0006440D"/>
    <w:rsid w:val="0006723F"/>
    <w:rsid w:val="000714B9"/>
    <w:rsid w:val="000726E2"/>
    <w:rsid w:val="00076251"/>
    <w:rsid w:val="00076357"/>
    <w:rsid w:val="000776B1"/>
    <w:rsid w:val="000828DA"/>
    <w:rsid w:val="0008748E"/>
    <w:rsid w:val="00087A20"/>
    <w:rsid w:val="00094FDA"/>
    <w:rsid w:val="00097139"/>
    <w:rsid w:val="000A4871"/>
    <w:rsid w:val="000A6431"/>
    <w:rsid w:val="000B08DE"/>
    <w:rsid w:val="000B1000"/>
    <w:rsid w:val="000B572A"/>
    <w:rsid w:val="000B70EB"/>
    <w:rsid w:val="000B7968"/>
    <w:rsid w:val="000C4B70"/>
    <w:rsid w:val="000C6E1D"/>
    <w:rsid w:val="000D24DB"/>
    <w:rsid w:val="000D256D"/>
    <w:rsid w:val="000D57E1"/>
    <w:rsid w:val="000D5C7E"/>
    <w:rsid w:val="000D75BE"/>
    <w:rsid w:val="000E423C"/>
    <w:rsid w:val="000E6F76"/>
    <w:rsid w:val="000F065B"/>
    <w:rsid w:val="000F4504"/>
    <w:rsid w:val="000F4FC5"/>
    <w:rsid w:val="000F6B59"/>
    <w:rsid w:val="000F6DB1"/>
    <w:rsid w:val="001026E2"/>
    <w:rsid w:val="0010397B"/>
    <w:rsid w:val="00104779"/>
    <w:rsid w:val="001065EE"/>
    <w:rsid w:val="0010708F"/>
    <w:rsid w:val="00112D45"/>
    <w:rsid w:val="00113872"/>
    <w:rsid w:val="00120334"/>
    <w:rsid w:val="00120C6B"/>
    <w:rsid w:val="0012261B"/>
    <w:rsid w:val="001246A2"/>
    <w:rsid w:val="00125DCC"/>
    <w:rsid w:val="00127053"/>
    <w:rsid w:val="00127B36"/>
    <w:rsid w:val="00131C69"/>
    <w:rsid w:val="001330EB"/>
    <w:rsid w:val="001354C4"/>
    <w:rsid w:val="001410C2"/>
    <w:rsid w:val="0014312B"/>
    <w:rsid w:val="00144846"/>
    <w:rsid w:val="00150CD0"/>
    <w:rsid w:val="00151017"/>
    <w:rsid w:val="0015314D"/>
    <w:rsid w:val="0015540E"/>
    <w:rsid w:val="001554A9"/>
    <w:rsid w:val="00157193"/>
    <w:rsid w:val="00160648"/>
    <w:rsid w:val="00163136"/>
    <w:rsid w:val="00165BBE"/>
    <w:rsid w:val="0017501D"/>
    <w:rsid w:val="001812FB"/>
    <w:rsid w:val="00181CC3"/>
    <w:rsid w:val="00182705"/>
    <w:rsid w:val="0018389B"/>
    <w:rsid w:val="00185BD8"/>
    <w:rsid w:val="00187338"/>
    <w:rsid w:val="00190995"/>
    <w:rsid w:val="001951C5"/>
    <w:rsid w:val="001A00B9"/>
    <w:rsid w:val="001A1746"/>
    <w:rsid w:val="001A3A4A"/>
    <w:rsid w:val="001A5DEA"/>
    <w:rsid w:val="001A6FBD"/>
    <w:rsid w:val="001B040E"/>
    <w:rsid w:val="001B0574"/>
    <w:rsid w:val="001C060E"/>
    <w:rsid w:val="001C0E82"/>
    <w:rsid w:val="001C2482"/>
    <w:rsid w:val="001C29FF"/>
    <w:rsid w:val="001D5923"/>
    <w:rsid w:val="001E076F"/>
    <w:rsid w:val="001F08BE"/>
    <w:rsid w:val="001F590D"/>
    <w:rsid w:val="001F6536"/>
    <w:rsid w:val="002026F5"/>
    <w:rsid w:val="00203E01"/>
    <w:rsid w:val="002044FA"/>
    <w:rsid w:val="00204D3C"/>
    <w:rsid w:val="002073F2"/>
    <w:rsid w:val="002103AC"/>
    <w:rsid w:val="002125C2"/>
    <w:rsid w:val="002126A3"/>
    <w:rsid w:val="002127F4"/>
    <w:rsid w:val="0021451E"/>
    <w:rsid w:val="00214FD5"/>
    <w:rsid w:val="002167C8"/>
    <w:rsid w:val="00216EFF"/>
    <w:rsid w:val="002205C2"/>
    <w:rsid w:val="00221748"/>
    <w:rsid w:val="002365A3"/>
    <w:rsid w:val="00236654"/>
    <w:rsid w:val="00237768"/>
    <w:rsid w:val="0024163C"/>
    <w:rsid w:val="0024405F"/>
    <w:rsid w:val="002456A7"/>
    <w:rsid w:val="002519AD"/>
    <w:rsid w:val="002519C8"/>
    <w:rsid w:val="00252812"/>
    <w:rsid w:val="002536F5"/>
    <w:rsid w:val="00253C22"/>
    <w:rsid w:val="0025458D"/>
    <w:rsid w:val="00256248"/>
    <w:rsid w:val="0025645C"/>
    <w:rsid w:val="00260C59"/>
    <w:rsid w:val="00266C7A"/>
    <w:rsid w:val="0027001A"/>
    <w:rsid w:val="00272206"/>
    <w:rsid w:val="0027799B"/>
    <w:rsid w:val="00285212"/>
    <w:rsid w:val="00285ADD"/>
    <w:rsid w:val="0028704E"/>
    <w:rsid w:val="00294318"/>
    <w:rsid w:val="002A2C05"/>
    <w:rsid w:val="002A7995"/>
    <w:rsid w:val="002B0B57"/>
    <w:rsid w:val="002B4980"/>
    <w:rsid w:val="002C276C"/>
    <w:rsid w:val="002D1C11"/>
    <w:rsid w:val="002D31AC"/>
    <w:rsid w:val="002D4248"/>
    <w:rsid w:val="002D4260"/>
    <w:rsid w:val="002E26E8"/>
    <w:rsid w:val="002E2E86"/>
    <w:rsid w:val="002E2EC9"/>
    <w:rsid w:val="002F0D44"/>
    <w:rsid w:val="002F2358"/>
    <w:rsid w:val="002F41C2"/>
    <w:rsid w:val="002F57CD"/>
    <w:rsid w:val="00300F77"/>
    <w:rsid w:val="00301AE0"/>
    <w:rsid w:val="0030314A"/>
    <w:rsid w:val="00304743"/>
    <w:rsid w:val="00311E51"/>
    <w:rsid w:val="00314FD9"/>
    <w:rsid w:val="00315CA7"/>
    <w:rsid w:val="00316872"/>
    <w:rsid w:val="00316A15"/>
    <w:rsid w:val="00321D9C"/>
    <w:rsid w:val="00330183"/>
    <w:rsid w:val="0033174E"/>
    <w:rsid w:val="00333F90"/>
    <w:rsid w:val="00343CD5"/>
    <w:rsid w:val="00345993"/>
    <w:rsid w:val="00347F8B"/>
    <w:rsid w:val="0035056D"/>
    <w:rsid w:val="00350F8B"/>
    <w:rsid w:val="003620FE"/>
    <w:rsid w:val="00362852"/>
    <w:rsid w:val="00363A10"/>
    <w:rsid w:val="00364D40"/>
    <w:rsid w:val="0036643B"/>
    <w:rsid w:val="003664FA"/>
    <w:rsid w:val="00367B93"/>
    <w:rsid w:val="00371EA8"/>
    <w:rsid w:val="003834D5"/>
    <w:rsid w:val="003835CC"/>
    <w:rsid w:val="00386E31"/>
    <w:rsid w:val="00396B5C"/>
    <w:rsid w:val="003A1732"/>
    <w:rsid w:val="003A27BA"/>
    <w:rsid w:val="003A2D28"/>
    <w:rsid w:val="003A4246"/>
    <w:rsid w:val="003A4CA0"/>
    <w:rsid w:val="003B01CC"/>
    <w:rsid w:val="003B0CD5"/>
    <w:rsid w:val="003B3A62"/>
    <w:rsid w:val="003C175B"/>
    <w:rsid w:val="003C3255"/>
    <w:rsid w:val="003C4944"/>
    <w:rsid w:val="003D0B2B"/>
    <w:rsid w:val="003D2417"/>
    <w:rsid w:val="003D5FDA"/>
    <w:rsid w:val="003D66FB"/>
    <w:rsid w:val="003D7241"/>
    <w:rsid w:val="003D72CE"/>
    <w:rsid w:val="003E290C"/>
    <w:rsid w:val="003E48A6"/>
    <w:rsid w:val="003E5E07"/>
    <w:rsid w:val="003F28A2"/>
    <w:rsid w:val="003F44F9"/>
    <w:rsid w:val="003F4DC3"/>
    <w:rsid w:val="003F5690"/>
    <w:rsid w:val="003F71BA"/>
    <w:rsid w:val="00403A73"/>
    <w:rsid w:val="0040480C"/>
    <w:rsid w:val="00406173"/>
    <w:rsid w:val="0040747D"/>
    <w:rsid w:val="00407BBD"/>
    <w:rsid w:val="00410A09"/>
    <w:rsid w:val="00413090"/>
    <w:rsid w:val="00415996"/>
    <w:rsid w:val="00424BDF"/>
    <w:rsid w:val="004268BB"/>
    <w:rsid w:val="004327A9"/>
    <w:rsid w:val="00435AA5"/>
    <w:rsid w:val="004455B1"/>
    <w:rsid w:val="004476FC"/>
    <w:rsid w:val="00447796"/>
    <w:rsid w:val="004556E7"/>
    <w:rsid w:val="0045577D"/>
    <w:rsid w:val="00455DD8"/>
    <w:rsid w:val="00456B60"/>
    <w:rsid w:val="00456F2E"/>
    <w:rsid w:val="004579FD"/>
    <w:rsid w:val="00460925"/>
    <w:rsid w:val="00461114"/>
    <w:rsid w:val="00465027"/>
    <w:rsid w:val="0046550B"/>
    <w:rsid w:val="004727D3"/>
    <w:rsid w:val="00477043"/>
    <w:rsid w:val="00483FCC"/>
    <w:rsid w:val="004868F2"/>
    <w:rsid w:val="0049426E"/>
    <w:rsid w:val="00496287"/>
    <w:rsid w:val="00497EE2"/>
    <w:rsid w:val="004A02DA"/>
    <w:rsid w:val="004A0CE5"/>
    <w:rsid w:val="004A0E3C"/>
    <w:rsid w:val="004A257C"/>
    <w:rsid w:val="004A5A2A"/>
    <w:rsid w:val="004A71F2"/>
    <w:rsid w:val="004B1AE6"/>
    <w:rsid w:val="004B3698"/>
    <w:rsid w:val="004B4F78"/>
    <w:rsid w:val="004C0996"/>
    <w:rsid w:val="004C6727"/>
    <w:rsid w:val="004D184A"/>
    <w:rsid w:val="004D25BD"/>
    <w:rsid w:val="004D430D"/>
    <w:rsid w:val="004E147C"/>
    <w:rsid w:val="004E6346"/>
    <w:rsid w:val="004E7026"/>
    <w:rsid w:val="004F169E"/>
    <w:rsid w:val="004F313D"/>
    <w:rsid w:val="004F44F0"/>
    <w:rsid w:val="00501834"/>
    <w:rsid w:val="00505D0E"/>
    <w:rsid w:val="005109D0"/>
    <w:rsid w:val="0051279D"/>
    <w:rsid w:val="00516D4F"/>
    <w:rsid w:val="0051712C"/>
    <w:rsid w:val="005255BD"/>
    <w:rsid w:val="005328E5"/>
    <w:rsid w:val="00540F8F"/>
    <w:rsid w:val="0054118B"/>
    <w:rsid w:val="0054316D"/>
    <w:rsid w:val="00547AFA"/>
    <w:rsid w:val="00547F81"/>
    <w:rsid w:val="00550A0A"/>
    <w:rsid w:val="005535A6"/>
    <w:rsid w:val="00556A49"/>
    <w:rsid w:val="00564326"/>
    <w:rsid w:val="00566BE9"/>
    <w:rsid w:val="00567984"/>
    <w:rsid w:val="0057250C"/>
    <w:rsid w:val="005728EE"/>
    <w:rsid w:val="00575E69"/>
    <w:rsid w:val="00580125"/>
    <w:rsid w:val="00585AAB"/>
    <w:rsid w:val="00591108"/>
    <w:rsid w:val="005936E2"/>
    <w:rsid w:val="00593719"/>
    <w:rsid w:val="005A2B0A"/>
    <w:rsid w:val="005B1B9A"/>
    <w:rsid w:val="005B1E5A"/>
    <w:rsid w:val="005B37D8"/>
    <w:rsid w:val="005B4664"/>
    <w:rsid w:val="005B6D6C"/>
    <w:rsid w:val="005C134A"/>
    <w:rsid w:val="005C23CF"/>
    <w:rsid w:val="005C2A52"/>
    <w:rsid w:val="005C699E"/>
    <w:rsid w:val="005C7A0A"/>
    <w:rsid w:val="005D12B8"/>
    <w:rsid w:val="005D1A45"/>
    <w:rsid w:val="005D2556"/>
    <w:rsid w:val="005D4734"/>
    <w:rsid w:val="005D499E"/>
    <w:rsid w:val="005D5BA1"/>
    <w:rsid w:val="005E0A70"/>
    <w:rsid w:val="005E0B62"/>
    <w:rsid w:val="005E27DF"/>
    <w:rsid w:val="005E2C1F"/>
    <w:rsid w:val="005E2EBE"/>
    <w:rsid w:val="005E2F33"/>
    <w:rsid w:val="005F2EF7"/>
    <w:rsid w:val="005F37D5"/>
    <w:rsid w:val="005F416C"/>
    <w:rsid w:val="00600F18"/>
    <w:rsid w:val="006015AD"/>
    <w:rsid w:val="0060222D"/>
    <w:rsid w:val="0060513D"/>
    <w:rsid w:val="0061495A"/>
    <w:rsid w:val="006152A9"/>
    <w:rsid w:val="0061757E"/>
    <w:rsid w:val="0062289F"/>
    <w:rsid w:val="0062294F"/>
    <w:rsid w:val="00623D22"/>
    <w:rsid w:val="0062555E"/>
    <w:rsid w:val="00625951"/>
    <w:rsid w:val="00633B14"/>
    <w:rsid w:val="00635FB7"/>
    <w:rsid w:val="0064089C"/>
    <w:rsid w:val="00640942"/>
    <w:rsid w:val="00643CF4"/>
    <w:rsid w:val="00644950"/>
    <w:rsid w:val="00646B5B"/>
    <w:rsid w:val="00650ED2"/>
    <w:rsid w:val="0066164F"/>
    <w:rsid w:val="0066555C"/>
    <w:rsid w:val="00665BFF"/>
    <w:rsid w:val="00665CAD"/>
    <w:rsid w:val="00667AC4"/>
    <w:rsid w:val="00672F95"/>
    <w:rsid w:val="00676712"/>
    <w:rsid w:val="00677C0C"/>
    <w:rsid w:val="00683E76"/>
    <w:rsid w:val="00686E8E"/>
    <w:rsid w:val="00687181"/>
    <w:rsid w:val="00687688"/>
    <w:rsid w:val="00695A1A"/>
    <w:rsid w:val="006974AA"/>
    <w:rsid w:val="006A0782"/>
    <w:rsid w:val="006A0CCF"/>
    <w:rsid w:val="006A2973"/>
    <w:rsid w:val="006A358A"/>
    <w:rsid w:val="006A491F"/>
    <w:rsid w:val="006B147A"/>
    <w:rsid w:val="006B2EBC"/>
    <w:rsid w:val="006B4714"/>
    <w:rsid w:val="006B4C54"/>
    <w:rsid w:val="006B771C"/>
    <w:rsid w:val="006C1F21"/>
    <w:rsid w:val="006C2E8D"/>
    <w:rsid w:val="006D067F"/>
    <w:rsid w:val="006D0D78"/>
    <w:rsid w:val="006D5187"/>
    <w:rsid w:val="006D6ABD"/>
    <w:rsid w:val="006E3B9B"/>
    <w:rsid w:val="006E508A"/>
    <w:rsid w:val="006E6EC1"/>
    <w:rsid w:val="006F1AD3"/>
    <w:rsid w:val="006F3D2B"/>
    <w:rsid w:val="006F3FF7"/>
    <w:rsid w:val="006F7042"/>
    <w:rsid w:val="006F78FB"/>
    <w:rsid w:val="00700204"/>
    <w:rsid w:val="00701562"/>
    <w:rsid w:val="00701799"/>
    <w:rsid w:val="00705C10"/>
    <w:rsid w:val="0070658D"/>
    <w:rsid w:val="00710F5B"/>
    <w:rsid w:val="00711A72"/>
    <w:rsid w:val="00717C62"/>
    <w:rsid w:val="0072207D"/>
    <w:rsid w:val="00722312"/>
    <w:rsid w:val="00724CCE"/>
    <w:rsid w:val="00730B72"/>
    <w:rsid w:val="007332BB"/>
    <w:rsid w:val="0074012B"/>
    <w:rsid w:val="00742CED"/>
    <w:rsid w:val="007473C2"/>
    <w:rsid w:val="00747F09"/>
    <w:rsid w:val="007513F2"/>
    <w:rsid w:val="00752AC5"/>
    <w:rsid w:val="00753518"/>
    <w:rsid w:val="00753AAF"/>
    <w:rsid w:val="00757473"/>
    <w:rsid w:val="007676FE"/>
    <w:rsid w:val="007712EF"/>
    <w:rsid w:val="00772276"/>
    <w:rsid w:val="00780740"/>
    <w:rsid w:val="007819FC"/>
    <w:rsid w:val="00785BB8"/>
    <w:rsid w:val="00786169"/>
    <w:rsid w:val="0078633F"/>
    <w:rsid w:val="007906EC"/>
    <w:rsid w:val="00793032"/>
    <w:rsid w:val="00793604"/>
    <w:rsid w:val="00795A36"/>
    <w:rsid w:val="00795AD8"/>
    <w:rsid w:val="007A22A4"/>
    <w:rsid w:val="007B30DB"/>
    <w:rsid w:val="007C008C"/>
    <w:rsid w:val="007C7922"/>
    <w:rsid w:val="007D1C9A"/>
    <w:rsid w:val="007D3722"/>
    <w:rsid w:val="007E210A"/>
    <w:rsid w:val="007E374B"/>
    <w:rsid w:val="007F05FF"/>
    <w:rsid w:val="007F5ADB"/>
    <w:rsid w:val="007F795C"/>
    <w:rsid w:val="00800529"/>
    <w:rsid w:val="008047C4"/>
    <w:rsid w:val="00805F85"/>
    <w:rsid w:val="008068BE"/>
    <w:rsid w:val="00812FB5"/>
    <w:rsid w:val="00816956"/>
    <w:rsid w:val="00816CE8"/>
    <w:rsid w:val="008176F4"/>
    <w:rsid w:val="00822686"/>
    <w:rsid w:val="008261DB"/>
    <w:rsid w:val="0083175C"/>
    <w:rsid w:val="0083188A"/>
    <w:rsid w:val="00831D51"/>
    <w:rsid w:val="008325BD"/>
    <w:rsid w:val="00835251"/>
    <w:rsid w:val="00835D88"/>
    <w:rsid w:val="008411E3"/>
    <w:rsid w:val="0084182E"/>
    <w:rsid w:val="00841E12"/>
    <w:rsid w:val="008431D6"/>
    <w:rsid w:val="00846AC2"/>
    <w:rsid w:val="0085189B"/>
    <w:rsid w:val="00851BAA"/>
    <w:rsid w:val="00852120"/>
    <w:rsid w:val="00855896"/>
    <w:rsid w:val="008640A6"/>
    <w:rsid w:val="00872109"/>
    <w:rsid w:val="00873606"/>
    <w:rsid w:val="00874B96"/>
    <w:rsid w:val="008765A1"/>
    <w:rsid w:val="00881032"/>
    <w:rsid w:val="00881B00"/>
    <w:rsid w:val="00882E55"/>
    <w:rsid w:val="00883C2E"/>
    <w:rsid w:val="00885BDA"/>
    <w:rsid w:val="008912B2"/>
    <w:rsid w:val="0089252F"/>
    <w:rsid w:val="00893BFF"/>
    <w:rsid w:val="008A0B7B"/>
    <w:rsid w:val="008A0E30"/>
    <w:rsid w:val="008A2298"/>
    <w:rsid w:val="008A4BAE"/>
    <w:rsid w:val="008A590F"/>
    <w:rsid w:val="008B0CEA"/>
    <w:rsid w:val="008B0F57"/>
    <w:rsid w:val="008B3723"/>
    <w:rsid w:val="008B413C"/>
    <w:rsid w:val="008C0857"/>
    <w:rsid w:val="008C1DF8"/>
    <w:rsid w:val="008C5C77"/>
    <w:rsid w:val="008C6F9C"/>
    <w:rsid w:val="008C71E3"/>
    <w:rsid w:val="008D047D"/>
    <w:rsid w:val="008D132C"/>
    <w:rsid w:val="008D3D5A"/>
    <w:rsid w:val="008D3F35"/>
    <w:rsid w:val="008D4A44"/>
    <w:rsid w:val="008D58FE"/>
    <w:rsid w:val="008D7A0E"/>
    <w:rsid w:val="008E2314"/>
    <w:rsid w:val="008E24E1"/>
    <w:rsid w:val="008E30F3"/>
    <w:rsid w:val="008E4A3B"/>
    <w:rsid w:val="008E5DE4"/>
    <w:rsid w:val="008F41F6"/>
    <w:rsid w:val="008F4F0B"/>
    <w:rsid w:val="00900560"/>
    <w:rsid w:val="0090362A"/>
    <w:rsid w:val="0090769A"/>
    <w:rsid w:val="00912517"/>
    <w:rsid w:val="00917A86"/>
    <w:rsid w:val="00920651"/>
    <w:rsid w:val="00925F18"/>
    <w:rsid w:val="0093053D"/>
    <w:rsid w:val="0093073D"/>
    <w:rsid w:val="00935CCA"/>
    <w:rsid w:val="009372FF"/>
    <w:rsid w:val="0094039A"/>
    <w:rsid w:val="00941517"/>
    <w:rsid w:val="00941C0C"/>
    <w:rsid w:val="00943F98"/>
    <w:rsid w:val="00944C12"/>
    <w:rsid w:val="00944CA8"/>
    <w:rsid w:val="009452CB"/>
    <w:rsid w:val="009467C6"/>
    <w:rsid w:val="00946ADF"/>
    <w:rsid w:val="00950EE4"/>
    <w:rsid w:val="00951DE0"/>
    <w:rsid w:val="00951EC6"/>
    <w:rsid w:val="009522CD"/>
    <w:rsid w:val="009529A9"/>
    <w:rsid w:val="00954DC9"/>
    <w:rsid w:val="009572CF"/>
    <w:rsid w:val="00960B4D"/>
    <w:rsid w:val="00962423"/>
    <w:rsid w:val="00963224"/>
    <w:rsid w:val="00963E3C"/>
    <w:rsid w:val="009706A5"/>
    <w:rsid w:val="0098086F"/>
    <w:rsid w:val="00980C1F"/>
    <w:rsid w:val="00980F0C"/>
    <w:rsid w:val="009930E2"/>
    <w:rsid w:val="00997338"/>
    <w:rsid w:val="00997591"/>
    <w:rsid w:val="009A1980"/>
    <w:rsid w:val="009A4748"/>
    <w:rsid w:val="009A4E03"/>
    <w:rsid w:val="009A769B"/>
    <w:rsid w:val="009B12D0"/>
    <w:rsid w:val="009B40F8"/>
    <w:rsid w:val="009B6082"/>
    <w:rsid w:val="009C03CB"/>
    <w:rsid w:val="009C3594"/>
    <w:rsid w:val="009C4496"/>
    <w:rsid w:val="009C6D8D"/>
    <w:rsid w:val="009D08D8"/>
    <w:rsid w:val="009D252F"/>
    <w:rsid w:val="009E3827"/>
    <w:rsid w:val="009E6A2B"/>
    <w:rsid w:val="009E772C"/>
    <w:rsid w:val="009F1699"/>
    <w:rsid w:val="009F5B1B"/>
    <w:rsid w:val="009F606D"/>
    <w:rsid w:val="009F7FB2"/>
    <w:rsid w:val="00A012DA"/>
    <w:rsid w:val="00A01FEC"/>
    <w:rsid w:val="00A03EE4"/>
    <w:rsid w:val="00A149E0"/>
    <w:rsid w:val="00A15777"/>
    <w:rsid w:val="00A21D6D"/>
    <w:rsid w:val="00A253CF"/>
    <w:rsid w:val="00A30F40"/>
    <w:rsid w:val="00A32657"/>
    <w:rsid w:val="00A33D8D"/>
    <w:rsid w:val="00A3424B"/>
    <w:rsid w:val="00A35FF3"/>
    <w:rsid w:val="00A3603D"/>
    <w:rsid w:val="00A41E24"/>
    <w:rsid w:val="00A43A6E"/>
    <w:rsid w:val="00A45B1D"/>
    <w:rsid w:val="00A45C1F"/>
    <w:rsid w:val="00A5320E"/>
    <w:rsid w:val="00A540A5"/>
    <w:rsid w:val="00A569FA"/>
    <w:rsid w:val="00A60E1A"/>
    <w:rsid w:val="00A61657"/>
    <w:rsid w:val="00A61E3C"/>
    <w:rsid w:val="00A677A6"/>
    <w:rsid w:val="00A72027"/>
    <w:rsid w:val="00A72B6F"/>
    <w:rsid w:val="00A72E73"/>
    <w:rsid w:val="00A82F87"/>
    <w:rsid w:val="00A83D48"/>
    <w:rsid w:val="00A92FF4"/>
    <w:rsid w:val="00A961D6"/>
    <w:rsid w:val="00A97A2A"/>
    <w:rsid w:val="00AA369F"/>
    <w:rsid w:val="00AB0B3D"/>
    <w:rsid w:val="00AB150E"/>
    <w:rsid w:val="00AB4E19"/>
    <w:rsid w:val="00AC05E7"/>
    <w:rsid w:val="00AC48A7"/>
    <w:rsid w:val="00AE29C3"/>
    <w:rsid w:val="00AE48AA"/>
    <w:rsid w:val="00AE48C7"/>
    <w:rsid w:val="00AF151F"/>
    <w:rsid w:val="00AF1E0F"/>
    <w:rsid w:val="00B04014"/>
    <w:rsid w:val="00B046DD"/>
    <w:rsid w:val="00B13771"/>
    <w:rsid w:val="00B153A9"/>
    <w:rsid w:val="00B16AEA"/>
    <w:rsid w:val="00B17134"/>
    <w:rsid w:val="00B17C8B"/>
    <w:rsid w:val="00B17CFD"/>
    <w:rsid w:val="00B209EC"/>
    <w:rsid w:val="00B20D97"/>
    <w:rsid w:val="00B23FF8"/>
    <w:rsid w:val="00B2534C"/>
    <w:rsid w:val="00B334F8"/>
    <w:rsid w:val="00B4202C"/>
    <w:rsid w:val="00B459A6"/>
    <w:rsid w:val="00B465BF"/>
    <w:rsid w:val="00B501E7"/>
    <w:rsid w:val="00B53C51"/>
    <w:rsid w:val="00B57237"/>
    <w:rsid w:val="00B57325"/>
    <w:rsid w:val="00B57B9A"/>
    <w:rsid w:val="00B6311C"/>
    <w:rsid w:val="00B63BFE"/>
    <w:rsid w:val="00B64A0F"/>
    <w:rsid w:val="00B65B48"/>
    <w:rsid w:val="00B66316"/>
    <w:rsid w:val="00B6774F"/>
    <w:rsid w:val="00B7065C"/>
    <w:rsid w:val="00B713DF"/>
    <w:rsid w:val="00B71F63"/>
    <w:rsid w:val="00B726F9"/>
    <w:rsid w:val="00B72972"/>
    <w:rsid w:val="00B761EA"/>
    <w:rsid w:val="00B76E53"/>
    <w:rsid w:val="00B802F2"/>
    <w:rsid w:val="00B845A0"/>
    <w:rsid w:val="00B85B50"/>
    <w:rsid w:val="00B924BD"/>
    <w:rsid w:val="00B942CD"/>
    <w:rsid w:val="00B96BCB"/>
    <w:rsid w:val="00B97A4C"/>
    <w:rsid w:val="00BA0863"/>
    <w:rsid w:val="00BA17C0"/>
    <w:rsid w:val="00BA2C6D"/>
    <w:rsid w:val="00BA6B04"/>
    <w:rsid w:val="00BA6C6C"/>
    <w:rsid w:val="00BB1C12"/>
    <w:rsid w:val="00BC2751"/>
    <w:rsid w:val="00BD5707"/>
    <w:rsid w:val="00BE1EA0"/>
    <w:rsid w:val="00BE2981"/>
    <w:rsid w:val="00BF1688"/>
    <w:rsid w:val="00BF3784"/>
    <w:rsid w:val="00BF638A"/>
    <w:rsid w:val="00BF6A81"/>
    <w:rsid w:val="00C05449"/>
    <w:rsid w:val="00C05C59"/>
    <w:rsid w:val="00C06E19"/>
    <w:rsid w:val="00C10FFC"/>
    <w:rsid w:val="00C1129E"/>
    <w:rsid w:val="00C14521"/>
    <w:rsid w:val="00C14B36"/>
    <w:rsid w:val="00C16616"/>
    <w:rsid w:val="00C172A9"/>
    <w:rsid w:val="00C210ED"/>
    <w:rsid w:val="00C21D45"/>
    <w:rsid w:val="00C2576E"/>
    <w:rsid w:val="00C272DE"/>
    <w:rsid w:val="00C3525B"/>
    <w:rsid w:val="00C3732F"/>
    <w:rsid w:val="00C37CDA"/>
    <w:rsid w:val="00C400A5"/>
    <w:rsid w:val="00C433DA"/>
    <w:rsid w:val="00C439E4"/>
    <w:rsid w:val="00C447E3"/>
    <w:rsid w:val="00C45E2C"/>
    <w:rsid w:val="00C50B71"/>
    <w:rsid w:val="00C53102"/>
    <w:rsid w:val="00C560F0"/>
    <w:rsid w:val="00C57A71"/>
    <w:rsid w:val="00C631DA"/>
    <w:rsid w:val="00C63CAB"/>
    <w:rsid w:val="00C6776F"/>
    <w:rsid w:val="00C70869"/>
    <w:rsid w:val="00C709BB"/>
    <w:rsid w:val="00C713F0"/>
    <w:rsid w:val="00C72AAD"/>
    <w:rsid w:val="00C74109"/>
    <w:rsid w:val="00C74F8F"/>
    <w:rsid w:val="00C77D8B"/>
    <w:rsid w:val="00C77F37"/>
    <w:rsid w:val="00C8006E"/>
    <w:rsid w:val="00C8105D"/>
    <w:rsid w:val="00C811C8"/>
    <w:rsid w:val="00C922C7"/>
    <w:rsid w:val="00C93433"/>
    <w:rsid w:val="00CA0207"/>
    <w:rsid w:val="00CA146E"/>
    <w:rsid w:val="00CA4A51"/>
    <w:rsid w:val="00CB0F4A"/>
    <w:rsid w:val="00CB1101"/>
    <w:rsid w:val="00CB27FF"/>
    <w:rsid w:val="00CD02F1"/>
    <w:rsid w:val="00CD0D66"/>
    <w:rsid w:val="00CD508B"/>
    <w:rsid w:val="00CD5E97"/>
    <w:rsid w:val="00CE0595"/>
    <w:rsid w:val="00CE128C"/>
    <w:rsid w:val="00CE1B18"/>
    <w:rsid w:val="00CE339A"/>
    <w:rsid w:val="00CE4CA8"/>
    <w:rsid w:val="00CF0027"/>
    <w:rsid w:val="00CF62FA"/>
    <w:rsid w:val="00CF7136"/>
    <w:rsid w:val="00D0220F"/>
    <w:rsid w:val="00D03E85"/>
    <w:rsid w:val="00D05357"/>
    <w:rsid w:val="00D12F9C"/>
    <w:rsid w:val="00D178C8"/>
    <w:rsid w:val="00D27C49"/>
    <w:rsid w:val="00D300BA"/>
    <w:rsid w:val="00D31E18"/>
    <w:rsid w:val="00D31E6D"/>
    <w:rsid w:val="00D33BB0"/>
    <w:rsid w:val="00D36443"/>
    <w:rsid w:val="00D42F69"/>
    <w:rsid w:val="00D44CBB"/>
    <w:rsid w:val="00D4689B"/>
    <w:rsid w:val="00D50143"/>
    <w:rsid w:val="00D51018"/>
    <w:rsid w:val="00D552D9"/>
    <w:rsid w:val="00D5530E"/>
    <w:rsid w:val="00D57401"/>
    <w:rsid w:val="00D63275"/>
    <w:rsid w:val="00D6547A"/>
    <w:rsid w:val="00D65798"/>
    <w:rsid w:val="00D66B9D"/>
    <w:rsid w:val="00D76DE7"/>
    <w:rsid w:val="00D778E8"/>
    <w:rsid w:val="00D77E4B"/>
    <w:rsid w:val="00D834F6"/>
    <w:rsid w:val="00DA077A"/>
    <w:rsid w:val="00DA3C74"/>
    <w:rsid w:val="00DA5CFC"/>
    <w:rsid w:val="00DA771F"/>
    <w:rsid w:val="00DB0511"/>
    <w:rsid w:val="00DB0EDD"/>
    <w:rsid w:val="00DB15BA"/>
    <w:rsid w:val="00DB1B1D"/>
    <w:rsid w:val="00DB1EA7"/>
    <w:rsid w:val="00DB2CBE"/>
    <w:rsid w:val="00DB48D6"/>
    <w:rsid w:val="00DB5BA4"/>
    <w:rsid w:val="00DB5BC0"/>
    <w:rsid w:val="00DB6CE5"/>
    <w:rsid w:val="00DC343D"/>
    <w:rsid w:val="00DC35F1"/>
    <w:rsid w:val="00DD1B63"/>
    <w:rsid w:val="00DD2A28"/>
    <w:rsid w:val="00DE2542"/>
    <w:rsid w:val="00DE6393"/>
    <w:rsid w:val="00DF1CDC"/>
    <w:rsid w:val="00DF61A4"/>
    <w:rsid w:val="00DF7EE5"/>
    <w:rsid w:val="00E1026A"/>
    <w:rsid w:val="00E10A1E"/>
    <w:rsid w:val="00E14FA9"/>
    <w:rsid w:val="00E17DA3"/>
    <w:rsid w:val="00E27272"/>
    <w:rsid w:val="00E3029F"/>
    <w:rsid w:val="00E305F6"/>
    <w:rsid w:val="00E3086D"/>
    <w:rsid w:val="00E308C4"/>
    <w:rsid w:val="00E320E4"/>
    <w:rsid w:val="00E328BD"/>
    <w:rsid w:val="00E37438"/>
    <w:rsid w:val="00E41872"/>
    <w:rsid w:val="00E4497D"/>
    <w:rsid w:val="00E458FE"/>
    <w:rsid w:val="00E45A2B"/>
    <w:rsid w:val="00E501E8"/>
    <w:rsid w:val="00E50933"/>
    <w:rsid w:val="00E52263"/>
    <w:rsid w:val="00E523DB"/>
    <w:rsid w:val="00E56907"/>
    <w:rsid w:val="00E56A3E"/>
    <w:rsid w:val="00E57A50"/>
    <w:rsid w:val="00E62936"/>
    <w:rsid w:val="00E63456"/>
    <w:rsid w:val="00E65DBC"/>
    <w:rsid w:val="00E66449"/>
    <w:rsid w:val="00E67E32"/>
    <w:rsid w:val="00E70407"/>
    <w:rsid w:val="00E705AF"/>
    <w:rsid w:val="00E7391E"/>
    <w:rsid w:val="00E7538B"/>
    <w:rsid w:val="00E75AEE"/>
    <w:rsid w:val="00E7745B"/>
    <w:rsid w:val="00E80C80"/>
    <w:rsid w:val="00E83172"/>
    <w:rsid w:val="00E83618"/>
    <w:rsid w:val="00E86D21"/>
    <w:rsid w:val="00E86FE6"/>
    <w:rsid w:val="00E874B7"/>
    <w:rsid w:val="00E90E2D"/>
    <w:rsid w:val="00E94445"/>
    <w:rsid w:val="00E9541B"/>
    <w:rsid w:val="00E96E90"/>
    <w:rsid w:val="00EA3365"/>
    <w:rsid w:val="00EA352C"/>
    <w:rsid w:val="00EA4F18"/>
    <w:rsid w:val="00EA7C93"/>
    <w:rsid w:val="00EB7E4B"/>
    <w:rsid w:val="00EC1F69"/>
    <w:rsid w:val="00EC3EDE"/>
    <w:rsid w:val="00EC43ED"/>
    <w:rsid w:val="00EC476C"/>
    <w:rsid w:val="00EC47D6"/>
    <w:rsid w:val="00EC60F7"/>
    <w:rsid w:val="00EC7082"/>
    <w:rsid w:val="00EC7F16"/>
    <w:rsid w:val="00EE1704"/>
    <w:rsid w:val="00EE721D"/>
    <w:rsid w:val="00EF0531"/>
    <w:rsid w:val="00EF2C18"/>
    <w:rsid w:val="00EF5BF7"/>
    <w:rsid w:val="00EF7319"/>
    <w:rsid w:val="00F00C56"/>
    <w:rsid w:val="00F04594"/>
    <w:rsid w:val="00F06009"/>
    <w:rsid w:val="00F11464"/>
    <w:rsid w:val="00F12F60"/>
    <w:rsid w:val="00F1489F"/>
    <w:rsid w:val="00F206D8"/>
    <w:rsid w:val="00F22C59"/>
    <w:rsid w:val="00F249F1"/>
    <w:rsid w:val="00F336A3"/>
    <w:rsid w:val="00F34D31"/>
    <w:rsid w:val="00F35C31"/>
    <w:rsid w:val="00F40A17"/>
    <w:rsid w:val="00F40D92"/>
    <w:rsid w:val="00F4246F"/>
    <w:rsid w:val="00F44A3A"/>
    <w:rsid w:val="00F46601"/>
    <w:rsid w:val="00F469F5"/>
    <w:rsid w:val="00F56A4C"/>
    <w:rsid w:val="00F600A0"/>
    <w:rsid w:val="00F601F6"/>
    <w:rsid w:val="00F60E30"/>
    <w:rsid w:val="00F60E51"/>
    <w:rsid w:val="00F64219"/>
    <w:rsid w:val="00F7329A"/>
    <w:rsid w:val="00F76DFE"/>
    <w:rsid w:val="00F80980"/>
    <w:rsid w:val="00F81A3D"/>
    <w:rsid w:val="00F81B93"/>
    <w:rsid w:val="00F849CF"/>
    <w:rsid w:val="00F8743B"/>
    <w:rsid w:val="00F91583"/>
    <w:rsid w:val="00FA0504"/>
    <w:rsid w:val="00FA0C99"/>
    <w:rsid w:val="00FA1ED4"/>
    <w:rsid w:val="00FA3DF7"/>
    <w:rsid w:val="00FA4401"/>
    <w:rsid w:val="00FA4B5B"/>
    <w:rsid w:val="00FA5493"/>
    <w:rsid w:val="00FA63B5"/>
    <w:rsid w:val="00FA798D"/>
    <w:rsid w:val="00FB04CA"/>
    <w:rsid w:val="00FB3F2C"/>
    <w:rsid w:val="00FB57F6"/>
    <w:rsid w:val="00FB5E6E"/>
    <w:rsid w:val="00FB7056"/>
    <w:rsid w:val="00FC7CBE"/>
    <w:rsid w:val="00FD1645"/>
    <w:rsid w:val="00FD1C81"/>
    <w:rsid w:val="00FD4118"/>
    <w:rsid w:val="00FD54B9"/>
    <w:rsid w:val="00FE0750"/>
    <w:rsid w:val="00FF15BA"/>
    <w:rsid w:val="00FF26A1"/>
    <w:rsid w:val="00FF30C1"/>
    <w:rsid w:val="00FF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B64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456F2E"/>
    <w:pPr>
      <w:keepNext/>
      <w:keepLines/>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345A8A" w:themeColor="accent1" w:themeShade="B5"/>
      <w:sz w:val="32"/>
      <w:szCs w:val="32"/>
      <w:bdr w:val="none" w:sz="0" w:space="0" w:color="auto"/>
      <w:lang w:val="en-PH"/>
    </w:rPr>
  </w:style>
  <w:style w:type="paragraph" w:styleId="Heading2">
    <w:name w:val="heading 2"/>
    <w:basedOn w:val="Normal"/>
    <w:next w:val="Normal"/>
    <w:link w:val="Heading2Char"/>
    <w:uiPriority w:val="9"/>
    <w:unhideWhenUsed/>
    <w:qFormat/>
    <w:rsid w:val="00456F2E"/>
    <w:pPr>
      <w:keepNext/>
      <w:keepLines/>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F81BD" w:themeColor="accent1"/>
      <w:sz w:val="26"/>
      <w:szCs w:val="26"/>
      <w:bdr w:val="none" w:sz="0" w:space="0" w:color="auto"/>
      <w:lang w:val="en-PH"/>
    </w:rPr>
  </w:style>
  <w:style w:type="paragraph" w:styleId="Heading3">
    <w:name w:val="heading 3"/>
    <w:basedOn w:val="Normal"/>
    <w:next w:val="Normal"/>
    <w:link w:val="Heading3Char"/>
    <w:uiPriority w:val="9"/>
    <w:unhideWhenUsed/>
    <w:qFormat/>
    <w:rsid w:val="00456F2E"/>
    <w:pPr>
      <w:keepNext/>
      <w:keepLines/>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Theme="majorHAnsi" w:eastAsiaTheme="majorEastAsia" w:hAnsiTheme="majorHAnsi" w:cstheme="majorBidi"/>
      <w:b/>
      <w:bCs/>
      <w:color w:val="4F81BD" w:themeColor="accent1"/>
      <w:sz w:val="22"/>
      <w:szCs w:val="22"/>
      <w:bdr w:val="none" w:sz="0" w:space="0" w:color="auto"/>
      <w:lang w:val="en-PH"/>
    </w:rPr>
  </w:style>
  <w:style w:type="paragraph" w:styleId="Heading4">
    <w:name w:val="heading 4"/>
    <w:basedOn w:val="Normal"/>
    <w:next w:val="Normal"/>
    <w:link w:val="Heading4Char"/>
    <w:uiPriority w:val="9"/>
    <w:unhideWhenUsed/>
    <w:qFormat/>
    <w:rsid w:val="00456F2E"/>
    <w:pPr>
      <w:keepNext/>
      <w:keepLines/>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3"/>
    </w:pPr>
    <w:rPr>
      <w:rFonts w:asciiTheme="majorHAnsi" w:eastAsiaTheme="majorEastAsia" w:hAnsiTheme="majorHAnsi" w:cstheme="majorBidi"/>
      <w:b/>
      <w:bCs/>
      <w:i/>
      <w:iCs/>
      <w:color w:val="4F81BD" w:themeColor="accent1"/>
      <w:sz w:val="22"/>
      <w:szCs w:val="22"/>
      <w:bdr w:val="none" w:sz="0" w:space="0" w:color="auto"/>
      <w:lang w:val="en-PH"/>
    </w:rPr>
  </w:style>
  <w:style w:type="paragraph" w:styleId="Heading5">
    <w:name w:val="heading 5"/>
    <w:basedOn w:val="Normal"/>
    <w:next w:val="Normal"/>
    <w:link w:val="Heading5Char"/>
    <w:uiPriority w:val="9"/>
    <w:unhideWhenUsed/>
    <w:qFormat/>
    <w:rsid w:val="00456F2E"/>
    <w:pPr>
      <w:keepNext/>
      <w:keepLines/>
      <w:numPr>
        <w:ilvl w:val="4"/>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4"/>
    </w:pPr>
    <w:rPr>
      <w:rFonts w:asciiTheme="majorHAnsi" w:eastAsiaTheme="majorEastAsia" w:hAnsiTheme="majorHAnsi" w:cstheme="majorBidi"/>
      <w:color w:val="243F60" w:themeColor="accent1" w:themeShade="7F"/>
      <w:sz w:val="22"/>
      <w:szCs w:val="22"/>
      <w:bdr w:val="none" w:sz="0" w:space="0" w:color="auto"/>
      <w:lang w:val="en-PH"/>
    </w:rPr>
  </w:style>
  <w:style w:type="paragraph" w:styleId="Heading6">
    <w:name w:val="heading 6"/>
    <w:basedOn w:val="Normal"/>
    <w:next w:val="Normal"/>
    <w:link w:val="Heading6Char"/>
    <w:uiPriority w:val="9"/>
    <w:semiHidden/>
    <w:unhideWhenUsed/>
    <w:qFormat/>
    <w:rsid w:val="00456F2E"/>
    <w:pPr>
      <w:keepNext/>
      <w:keepLines/>
      <w:numPr>
        <w:ilvl w:val="5"/>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5"/>
    </w:pPr>
    <w:rPr>
      <w:rFonts w:asciiTheme="majorHAnsi" w:eastAsiaTheme="majorEastAsia" w:hAnsiTheme="majorHAnsi" w:cstheme="majorBidi"/>
      <w:i/>
      <w:iCs/>
      <w:color w:val="243F60" w:themeColor="accent1" w:themeShade="7F"/>
      <w:sz w:val="22"/>
      <w:szCs w:val="22"/>
      <w:bdr w:val="none" w:sz="0" w:space="0" w:color="auto"/>
      <w:lang w:val="en-PH"/>
    </w:rPr>
  </w:style>
  <w:style w:type="paragraph" w:styleId="Heading7">
    <w:name w:val="heading 7"/>
    <w:basedOn w:val="Normal"/>
    <w:next w:val="Normal"/>
    <w:link w:val="Heading7Char"/>
    <w:uiPriority w:val="9"/>
    <w:semiHidden/>
    <w:unhideWhenUsed/>
    <w:qFormat/>
    <w:rsid w:val="00456F2E"/>
    <w:pPr>
      <w:keepNext/>
      <w:keepLines/>
      <w:numPr>
        <w:ilvl w:val="6"/>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6"/>
    </w:pPr>
    <w:rPr>
      <w:rFonts w:asciiTheme="majorHAnsi" w:eastAsiaTheme="majorEastAsia" w:hAnsiTheme="majorHAnsi" w:cstheme="majorBidi"/>
      <w:i/>
      <w:iCs/>
      <w:color w:val="404040" w:themeColor="text1" w:themeTint="BF"/>
      <w:sz w:val="22"/>
      <w:szCs w:val="22"/>
      <w:bdr w:val="none" w:sz="0" w:space="0" w:color="auto"/>
      <w:lang w:val="en-PH"/>
    </w:rPr>
  </w:style>
  <w:style w:type="paragraph" w:styleId="Heading8">
    <w:name w:val="heading 8"/>
    <w:basedOn w:val="Normal"/>
    <w:next w:val="Normal"/>
    <w:link w:val="Heading8Char"/>
    <w:uiPriority w:val="9"/>
    <w:semiHidden/>
    <w:unhideWhenUsed/>
    <w:qFormat/>
    <w:rsid w:val="00456F2E"/>
    <w:pPr>
      <w:keepNext/>
      <w:keepLines/>
      <w:numPr>
        <w:ilvl w:val="7"/>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7"/>
    </w:pPr>
    <w:rPr>
      <w:rFonts w:asciiTheme="majorHAnsi" w:eastAsiaTheme="majorEastAsia" w:hAnsiTheme="majorHAnsi" w:cstheme="majorBidi"/>
      <w:color w:val="404040" w:themeColor="text1" w:themeTint="BF"/>
      <w:sz w:val="20"/>
      <w:szCs w:val="20"/>
      <w:bdr w:val="none" w:sz="0" w:space="0" w:color="auto"/>
      <w:lang w:val="en-PH"/>
    </w:rPr>
  </w:style>
  <w:style w:type="paragraph" w:styleId="Heading9">
    <w:name w:val="heading 9"/>
    <w:basedOn w:val="Normal"/>
    <w:next w:val="Normal"/>
    <w:link w:val="Heading9Char"/>
    <w:uiPriority w:val="9"/>
    <w:semiHidden/>
    <w:unhideWhenUsed/>
    <w:qFormat/>
    <w:rsid w:val="00456F2E"/>
    <w:pPr>
      <w:keepNext/>
      <w:keepLines/>
      <w:numPr>
        <w:ilvl w:val="8"/>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8"/>
    </w:pPr>
    <w:rPr>
      <w:rFonts w:asciiTheme="majorHAnsi" w:eastAsiaTheme="majorEastAsia" w:hAnsiTheme="majorHAnsi" w:cstheme="majorBidi"/>
      <w:i/>
      <w:iCs/>
      <w:color w:val="404040" w:themeColor="text1" w:themeTint="BF"/>
      <w:sz w:val="20"/>
      <w:szCs w:val="20"/>
      <w:bdr w:val="none" w:sz="0" w:space="0" w:color="auto"/>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MKSTitleofpaper">
    <w:name w:val="MKS Title of paper"/>
    <w:pPr>
      <w:keepNext/>
      <w:spacing w:before="120"/>
      <w:jc w:val="center"/>
      <w:outlineLvl w:val="0"/>
    </w:pPr>
    <w:rPr>
      <w:rFonts w:cs="Arial Unicode MS"/>
      <w:b/>
      <w:bCs/>
      <w:color w:val="000000"/>
      <w:kern w:val="32"/>
      <w:sz w:val="28"/>
      <w:szCs w:val="28"/>
      <w:u w:color="000000"/>
    </w:rPr>
  </w:style>
  <w:style w:type="character" w:customStyle="1" w:styleId="apple-converted-space">
    <w:name w:val="apple-converted-space"/>
    <w:rPr>
      <w:lang w:val="en-US"/>
    </w:rPr>
  </w:style>
  <w:style w:type="paragraph" w:customStyle="1" w:styleId="Abstracttitle">
    <w:name w:val="Abstract title"/>
    <w:pPr>
      <w:keepNext/>
      <w:keepLines/>
      <w:spacing w:before="360" w:line="260" w:lineRule="exact"/>
      <w:ind w:left="567"/>
      <w:jc w:val="both"/>
    </w:pPr>
    <w:rPr>
      <w:rFonts w:cs="Arial Unicode MS"/>
      <w:b/>
      <w:bCs/>
      <w:color w:val="000000"/>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MKSlevel1heading">
    <w:name w:val="MKS level 1 heading"/>
    <w:pPr>
      <w:keepNext/>
      <w:keepLines/>
      <w:spacing w:before="240" w:after="120"/>
      <w:jc w:val="both"/>
    </w:pPr>
    <w:rPr>
      <w:rFonts w:cs="Arial Unicode MS"/>
      <w:b/>
      <w:bC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FootnoteText">
    <w:name w:val="footnote text"/>
    <w:link w:val="FootnoteTextChar"/>
    <w:uiPriority w:val="99"/>
    <w:rPr>
      <w:rFonts w:eastAsia="Times New Roman"/>
      <w:color w:val="000000"/>
      <w:u w:color="000000"/>
    </w:rPr>
  </w:style>
  <w:style w:type="numbering" w:customStyle="1" w:styleId="ImportedStyle1">
    <w:name w:val="Imported Style 1"/>
    <w:pPr>
      <w:numPr>
        <w:numId w:val="1"/>
      </w:numPr>
    </w:pPr>
  </w:style>
  <w:style w:type="paragraph" w:styleId="ListParagraph">
    <w:name w:val="List Paragraph"/>
    <w:uiPriority w:val="34"/>
    <w:qFormat/>
    <w:pPr>
      <w:ind w:left="720"/>
    </w:pPr>
    <w:rPr>
      <w:rFonts w:cs="Arial Unicode MS"/>
      <w:color w:val="000000"/>
      <w:sz w:val="22"/>
      <w:szCs w:val="22"/>
      <w:u w:color="000000"/>
    </w:rPr>
  </w:style>
  <w:style w:type="numbering" w:customStyle="1" w:styleId="ImportedStyle2">
    <w:name w:val="Imported Style 2"/>
    <w:pPr>
      <w:numPr>
        <w:numId w:val="2"/>
      </w:numPr>
    </w:pPr>
  </w:style>
  <w:style w:type="paragraph" w:styleId="BodyTextIndent">
    <w:name w:val="Body Text Indent"/>
    <w:link w:val="BodyTextIndentChar"/>
    <w:pPr>
      <w:spacing w:after="120" w:line="300" w:lineRule="exact"/>
      <w:ind w:left="283" w:firstLine="360"/>
      <w:jc w:val="both"/>
    </w:pPr>
    <w:rPr>
      <w:rFonts w:cs="Arial Unicode MS"/>
      <w:color w:val="000000"/>
      <w:sz w:val="22"/>
      <w:szCs w:val="22"/>
      <w:u w:color="000000"/>
    </w:rPr>
  </w:style>
  <w:style w:type="paragraph" w:styleId="BodyText">
    <w:name w:val="Body Text"/>
    <w:link w:val="BodyTextChar"/>
    <w:pPr>
      <w:spacing w:after="120"/>
    </w:pPr>
    <w:rPr>
      <w:rFonts w:cs="Arial Unicode MS"/>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0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5B1D"/>
    <w:rPr>
      <w:b/>
      <w:bCs/>
    </w:rPr>
  </w:style>
  <w:style w:type="character" w:customStyle="1" w:styleId="CommentSubjectChar">
    <w:name w:val="Comment Subject Char"/>
    <w:basedOn w:val="CommentTextChar"/>
    <w:link w:val="CommentSubject"/>
    <w:uiPriority w:val="99"/>
    <w:semiHidden/>
    <w:rsid w:val="00A45B1D"/>
    <w:rPr>
      <w:b/>
      <w:bCs/>
    </w:rPr>
  </w:style>
  <w:style w:type="table" w:customStyle="1" w:styleId="PlainTable21">
    <w:name w:val="Plain Table 21"/>
    <w:basedOn w:val="TableNormal"/>
    <w:uiPriority w:val="42"/>
    <w:rsid w:val="00EA7C9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C74F8F"/>
    <w:pPr>
      <w:tabs>
        <w:tab w:val="center" w:pos="4680"/>
        <w:tab w:val="right" w:pos="9360"/>
      </w:tabs>
    </w:pPr>
  </w:style>
  <w:style w:type="character" w:customStyle="1" w:styleId="HeaderChar">
    <w:name w:val="Header Char"/>
    <w:basedOn w:val="DefaultParagraphFont"/>
    <w:link w:val="Header"/>
    <w:uiPriority w:val="99"/>
    <w:rsid w:val="00C74F8F"/>
    <w:rPr>
      <w:sz w:val="24"/>
      <w:szCs w:val="24"/>
    </w:rPr>
  </w:style>
  <w:style w:type="paragraph" w:styleId="Footer">
    <w:name w:val="footer"/>
    <w:basedOn w:val="Normal"/>
    <w:link w:val="FooterChar"/>
    <w:uiPriority w:val="99"/>
    <w:unhideWhenUsed/>
    <w:rsid w:val="00C74F8F"/>
    <w:pPr>
      <w:tabs>
        <w:tab w:val="center" w:pos="4680"/>
        <w:tab w:val="right" w:pos="9360"/>
      </w:tabs>
    </w:pPr>
  </w:style>
  <w:style w:type="character" w:customStyle="1" w:styleId="FooterChar">
    <w:name w:val="Footer Char"/>
    <w:basedOn w:val="DefaultParagraphFont"/>
    <w:link w:val="Footer"/>
    <w:uiPriority w:val="99"/>
    <w:rsid w:val="00C74F8F"/>
    <w:rPr>
      <w:sz w:val="24"/>
      <w:szCs w:val="24"/>
    </w:rPr>
  </w:style>
  <w:style w:type="character" w:customStyle="1" w:styleId="Heading1Char">
    <w:name w:val="Heading 1 Char"/>
    <w:basedOn w:val="DefaultParagraphFont"/>
    <w:link w:val="Heading1"/>
    <w:uiPriority w:val="9"/>
    <w:rsid w:val="00456F2E"/>
    <w:rPr>
      <w:rFonts w:asciiTheme="majorHAnsi" w:eastAsiaTheme="majorEastAsia" w:hAnsiTheme="majorHAnsi" w:cstheme="majorBidi"/>
      <w:b/>
      <w:bCs/>
      <w:color w:val="345A8A" w:themeColor="accent1" w:themeShade="B5"/>
      <w:sz w:val="32"/>
      <w:szCs w:val="32"/>
      <w:bdr w:val="none" w:sz="0" w:space="0" w:color="auto"/>
      <w:lang w:val="en-PH"/>
    </w:rPr>
  </w:style>
  <w:style w:type="character" w:customStyle="1" w:styleId="Heading2Char">
    <w:name w:val="Heading 2 Char"/>
    <w:basedOn w:val="DefaultParagraphFont"/>
    <w:link w:val="Heading2"/>
    <w:uiPriority w:val="9"/>
    <w:rsid w:val="00456F2E"/>
    <w:rPr>
      <w:rFonts w:asciiTheme="majorHAnsi" w:eastAsiaTheme="majorEastAsia" w:hAnsiTheme="majorHAnsi" w:cstheme="majorBidi"/>
      <w:b/>
      <w:bCs/>
      <w:color w:val="4F81BD" w:themeColor="accent1"/>
      <w:sz w:val="26"/>
      <w:szCs w:val="26"/>
      <w:bdr w:val="none" w:sz="0" w:space="0" w:color="auto"/>
      <w:lang w:val="en-PH"/>
    </w:rPr>
  </w:style>
  <w:style w:type="character" w:customStyle="1" w:styleId="Heading3Char">
    <w:name w:val="Heading 3 Char"/>
    <w:basedOn w:val="DefaultParagraphFont"/>
    <w:link w:val="Heading3"/>
    <w:uiPriority w:val="9"/>
    <w:rsid w:val="00456F2E"/>
    <w:rPr>
      <w:rFonts w:asciiTheme="majorHAnsi" w:eastAsiaTheme="majorEastAsia" w:hAnsiTheme="majorHAnsi" w:cstheme="majorBidi"/>
      <w:b/>
      <w:bCs/>
      <w:color w:val="4F81BD" w:themeColor="accent1"/>
      <w:sz w:val="22"/>
      <w:szCs w:val="22"/>
      <w:bdr w:val="none" w:sz="0" w:space="0" w:color="auto"/>
      <w:lang w:val="en-PH"/>
    </w:rPr>
  </w:style>
  <w:style w:type="character" w:customStyle="1" w:styleId="Heading4Char">
    <w:name w:val="Heading 4 Char"/>
    <w:basedOn w:val="DefaultParagraphFont"/>
    <w:link w:val="Heading4"/>
    <w:uiPriority w:val="9"/>
    <w:rsid w:val="00456F2E"/>
    <w:rPr>
      <w:rFonts w:asciiTheme="majorHAnsi" w:eastAsiaTheme="majorEastAsia" w:hAnsiTheme="majorHAnsi" w:cstheme="majorBidi"/>
      <w:b/>
      <w:bCs/>
      <w:i/>
      <w:iCs/>
      <w:color w:val="4F81BD" w:themeColor="accent1"/>
      <w:sz w:val="22"/>
      <w:szCs w:val="22"/>
      <w:bdr w:val="none" w:sz="0" w:space="0" w:color="auto"/>
      <w:lang w:val="en-PH"/>
    </w:rPr>
  </w:style>
  <w:style w:type="character" w:customStyle="1" w:styleId="Heading5Char">
    <w:name w:val="Heading 5 Char"/>
    <w:basedOn w:val="DefaultParagraphFont"/>
    <w:link w:val="Heading5"/>
    <w:uiPriority w:val="9"/>
    <w:rsid w:val="00456F2E"/>
    <w:rPr>
      <w:rFonts w:asciiTheme="majorHAnsi" w:eastAsiaTheme="majorEastAsia" w:hAnsiTheme="majorHAnsi" w:cstheme="majorBidi"/>
      <w:color w:val="243F60" w:themeColor="accent1" w:themeShade="7F"/>
      <w:sz w:val="22"/>
      <w:szCs w:val="22"/>
      <w:bdr w:val="none" w:sz="0" w:space="0" w:color="auto"/>
      <w:lang w:val="en-PH"/>
    </w:rPr>
  </w:style>
  <w:style w:type="character" w:customStyle="1" w:styleId="Heading6Char">
    <w:name w:val="Heading 6 Char"/>
    <w:basedOn w:val="DefaultParagraphFont"/>
    <w:link w:val="Heading6"/>
    <w:uiPriority w:val="9"/>
    <w:semiHidden/>
    <w:rsid w:val="00456F2E"/>
    <w:rPr>
      <w:rFonts w:asciiTheme="majorHAnsi" w:eastAsiaTheme="majorEastAsia" w:hAnsiTheme="majorHAnsi" w:cstheme="majorBidi"/>
      <w:i/>
      <w:iCs/>
      <w:color w:val="243F60" w:themeColor="accent1" w:themeShade="7F"/>
      <w:sz w:val="22"/>
      <w:szCs w:val="22"/>
      <w:bdr w:val="none" w:sz="0" w:space="0" w:color="auto"/>
      <w:lang w:val="en-PH"/>
    </w:rPr>
  </w:style>
  <w:style w:type="character" w:customStyle="1" w:styleId="Heading7Char">
    <w:name w:val="Heading 7 Char"/>
    <w:basedOn w:val="DefaultParagraphFont"/>
    <w:link w:val="Heading7"/>
    <w:uiPriority w:val="9"/>
    <w:semiHidden/>
    <w:rsid w:val="00456F2E"/>
    <w:rPr>
      <w:rFonts w:asciiTheme="majorHAnsi" w:eastAsiaTheme="majorEastAsia" w:hAnsiTheme="majorHAnsi" w:cstheme="majorBidi"/>
      <w:i/>
      <w:iCs/>
      <w:color w:val="404040" w:themeColor="text1" w:themeTint="BF"/>
      <w:sz w:val="22"/>
      <w:szCs w:val="22"/>
      <w:bdr w:val="none" w:sz="0" w:space="0" w:color="auto"/>
      <w:lang w:val="en-PH"/>
    </w:rPr>
  </w:style>
  <w:style w:type="character" w:customStyle="1" w:styleId="Heading8Char">
    <w:name w:val="Heading 8 Char"/>
    <w:basedOn w:val="DefaultParagraphFont"/>
    <w:link w:val="Heading8"/>
    <w:uiPriority w:val="9"/>
    <w:semiHidden/>
    <w:rsid w:val="00456F2E"/>
    <w:rPr>
      <w:rFonts w:asciiTheme="majorHAnsi" w:eastAsiaTheme="majorEastAsia" w:hAnsiTheme="majorHAnsi" w:cstheme="majorBidi"/>
      <w:color w:val="404040" w:themeColor="text1" w:themeTint="BF"/>
      <w:bdr w:val="none" w:sz="0" w:space="0" w:color="auto"/>
      <w:lang w:val="en-PH"/>
    </w:rPr>
  </w:style>
  <w:style w:type="character" w:customStyle="1" w:styleId="Heading9Char">
    <w:name w:val="Heading 9 Char"/>
    <w:basedOn w:val="DefaultParagraphFont"/>
    <w:link w:val="Heading9"/>
    <w:uiPriority w:val="9"/>
    <w:semiHidden/>
    <w:rsid w:val="00456F2E"/>
    <w:rPr>
      <w:rFonts w:asciiTheme="majorHAnsi" w:eastAsiaTheme="majorEastAsia" w:hAnsiTheme="majorHAnsi" w:cstheme="majorBidi"/>
      <w:i/>
      <w:iCs/>
      <w:color w:val="404040" w:themeColor="text1" w:themeTint="BF"/>
      <w:bdr w:val="none" w:sz="0" w:space="0" w:color="auto"/>
      <w:lang w:val="en-PH"/>
    </w:rPr>
  </w:style>
  <w:style w:type="character" w:styleId="Strong">
    <w:name w:val="Strong"/>
    <w:uiPriority w:val="22"/>
    <w:qFormat/>
    <w:rsid w:val="00456F2E"/>
    <w:rPr>
      <w:b/>
      <w:bCs/>
    </w:rPr>
  </w:style>
  <w:style w:type="paragraph" w:customStyle="1" w:styleId="rtecenter">
    <w:name w:val="rtecenter"/>
    <w:basedOn w:val="Normal"/>
    <w:rsid w:val="00456F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PH" w:eastAsia="en-PH"/>
    </w:rPr>
  </w:style>
  <w:style w:type="table" w:styleId="LightShading">
    <w:name w:val="Light Shading"/>
    <w:basedOn w:val="TableNormal"/>
    <w:uiPriority w:val="60"/>
    <w:rsid w:val="00456F2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olor w:val="000000"/>
      <w:bdr w:val="none" w:sz="0" w:space="0" w:color="auto"/>
      <w:lang w:val="en-PH" w:eastAsia="en-P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266C7A"/>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b/>
      <w:bCs/>
      <w:bdr w:val="none" w:sz="0" w:space="0" w:color="auto"/>
      <w:lang w:val="en-PH"/>
    </w:rPr>
  </w:style>
  <w:style w:type="character" w:styleId="PageNumber">
    <w:name w:val="page number"/>
    <w:basedOn w:val="DefaultParagraphFont"/>
    <w:uiPriority w:val="99"/>
    <w:semiHidden/>
    <w:unhideWhenUsed/>
    <w:rsid w:val="0057250C"/>
  </w:style>
  <w:style w:type="character" w:customStyle="1" w:styleId="FootnoteTextChar">
    <w:name w:val="Footnote Text Char"/>
    <w:basedOn w:val="DefaultParagraphFont"/>
    <w:link w:val="FootnoteText"/>
    <w:uiPriority w:val="99"/>
    <w:rsid w:val="0057250C"/>
    <w:rPr>
      <w:rFonts w:eastAsia="Times New Roman"/>
      <w:color w:val="000000"/>
      <w:u w:color="000000"/>
    </w:rPr>
  </w:style>
  <w:style w:type="character" w:customStyle="1" w:styleId="BodyTextIndentChar">
    <w:name w:val="Body Text Indent Char"/>
    <w:basedOn w:val="DefaultParagraphFont"/>
    <w:link w:val="BodyTextIndent"/>
    <w:rsid w:val="0057250C"/>
    <w:rPr>
      <w:rFonts w:cs="Arial Unicode MS"/>
      <w:color w:val="000000"/>
      <w:sz w:val="22"/>
      <w:szCs w:val="22"/>
      <w:u w:color="000000"/>
    </w:rPr>
  </w:style>
  <w:style w:type="character" w:customStyle="1" w:styleId="BodyTextChar">
    <w:name w:val="Body Text Char"/>
    <w:basedOn w:val="DefaultParagraphFont"/>
    <w:link w:val="BodyText"/>
    <w:rsid w:val="0057250C"/>
    <w:rPr>
      <w:rFonts w:cs="Arial Unicode MS"/>
      <w:color w:val="000000"/>
      <w:sz w:val="22"/>
      <w:szCs w:val="22"/>
      <w:u w:color="000000"/>
    </w:rPr>
  </w:style>
  <w:style w:type="table" w:styleId="TableGrid">
    <w:name w:val="Table Grid"/>
    <w:basedOn w:val="TableNormal"/>
    <w:uiPriority w:val="39"/>
    <w:rsid w:val="0057250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57250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unhideWhenUsed/>
    <w:rsid w:val="005725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57250C"/>
    <w:rPr>
      <w:i/>
      <w:iCs/>
    </w:rPr>
  </w:style>
  <w:style w:type="character" w:customStyle="1" w:styleId="slug-metadata-note">
    <w:name w:val="slug-metadata-note"/>
    <w:basedOn w:val="DefaultParagraphFont"/>
    <w:rsid w:val="0057250C"/>
  </w:style>
  <w:style w:type="character" w:customStyle="1" w:styleId="slug-doi">
    <w:name w:val="slug-doi"/>
    <w:basedOn w:val="DefaultParagraphFont"/>
    <w:rsid w:val="0057250C"/>
  </w:style>
  <w:style w:type="character" w:customStyle="1" w:styleId="textexposedshow">
    <w:name w:val="text_exposed_show"/>
    <w:basedOn w:val="DefaultParagraphFont"/>
    <w:rsid w:val="0057250C"/>
  </w:style>
  <w:style w:type="character" w:customStyle="1" w:styleId="timestampcontent">
    <w:name w:val="timestampcontent"/>
    <w:basedOn w:val="DefaultParagraphFont"/>
    <w:rsid w:val="0057250C"/>
  </w:style>
  <w:style w:type="character" w:customStyle="1" w:styleId="fwb">
    <w:name w:val="fwb"/>
    <w:basedOn w:val="DefaultParagraphFont"/>
    <w:rsid w:val="0057250C"/>
  </w:style>
  <w:style w:type="paragraph" w:styleId="DocumentMap">
    <w:name w:val="Document Map"/>
    <w:basedOn w:val="Normal"/>
    <w:link w:val="DocumentMapChar"/>
    <w:uiPriority w:val="99"/>
    <w:semiHidden/>
    <w:unhideWhenUsed/>
    <w:rsid w:val="0057250C"/>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EastAsia" w:hAnsi="Helvetica" w:cstheme="minorBidi"/>
      <w:bdr w:val="none" w:sz="0" w:space="0" w:color="auto"/>
      <w:lang w:val="en-PH"/>
    </w:rPr>
  </w:style>
  <w:style w:type="character" w:customStyle="1" w:styleId="DocumentMapChar">
    <w:name w:val="Document Map Char"/>
    <w:basedOn w:val="DefaultParagraphFont"/>
    <w:link w:val="DocumentMap"/>
    <w:uiPriority w:val="99"/>
    <w:semiHidden/>
    <w:rsid w:val="0057250C"/>
    <w:rPr>
      <w:rFonts w:ascii="Helvetica" w:eastAsiaTheme="minorEastAsia" w:hAnsi="Helvetica" w:cstheme="minorBidi"/>
      <w:sz w:val="24"/>
      <w:szCs w:val="24"/>
      <w:bdr w:val="none" w:sz="0" w:space="0" w:color="auto"/>
      <w:lang w:val="en-PH"/>
    </w:rPr>
  </w:style>
  <w:style w:type="character" w:styleId="FootnoteReference">
    <w:name w:val="footnote reference"/>
    <w:basedOn w:val="DefaultParagraphFont"/>
    <w:uiPriority w:val="99"/>
    <w:unhideWhenUsed/>
    <w:rsid w:val="0057250C"/>
    <w:rPr>
      <w:vertAlign w:val="superscript"/>
    </w:rPr>
  </w:style>
  <w:style w:type="paragraph" w:styleId="EndnoteText">
    <w:name w:val="endnote text"/>
    <w:basedOn w:val="Normal"/>
    <w:link w:val="EndnoteTextChar"/>
    <w:uiPriority w:val="99"/>
    <w:unhideWhenUsed/>
    <w:rsid w:val="0057250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en-PH"/>
    </w:rPr>
  </w:style>
  <w:style w:type="character" w:customStyle="1" w:styleId="EndnoteTextChar">
    <w:name w:val="Endnote Text Char"/>
    <w:basedOn w:val="DefaultParagraphFont"/>
    <w:link w:val="EndnoteText"/>
    <w:uiPriority w:val="99"/>
    <w:rsid w:val="0057250C"/>
    <w:rPr>
      <w:rFonts w:asciiTheme="minorHAnsi" w:eastAsiaTheme="minorEastAsia" w:hAnsiTheme="minorHAnsi" w:cstheme="minorBidi"/>
      <w:sz w:val="24"/>
      <w:szCs w:val="24"/>
      <w:bdr w:val="none" w:sz="0" w:space="0" w:color="auto"/>
      <w:lang w:val="en-PH"/>
    </w:rPr>
  </w:style>
  <w:style w:type="character" w:styleId="EndnoteReference">
    <w:name w:val="endnote reference"/>
    <w:basedOn w:val="DefaultParagraphFont"/>
    <w:uiPriority w:val="99"/>
    <w:unhideWhenUsed/>
    <w:rsid w:val="0057250C"/>
    <w:rPr>
      <w:vertAlign w:val="superscript"/>
    </w:rPr>
  </w:style>
  <w:style w:type="paragraph" w:styleId="BodyTextIndent3">
    <w:name w:val="Body Text Indent 3"/>
    <w:basedOn w:val="Normal"/>
    <w:link w:val="BodyTextIndent3Char"/>
    <w:uiPriority w:val="99"/>
    <w:semiHidden/>
    <w:unhideWhenUsed/>
    <w:rsid w:val="0057250C"/>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360"/>
    </w:pPr>
    <w:rPr>
      <w:rFonts w:ascii="Calibri" w:eastAsia="Calibri" w:hAnsi="Calibri"/>
      <w:sz w:val="16"/>
      <w:szCs w:val="16"/>
      <w:bdr w:val="none" w:sz="0" w:space="0" w:color="auto"/>
      <w:lang w:val="en-PH"/>
    </w:rPr>
  </w:style>
  <w:style w:type="character" w:customStyle="1" w:styleId="BodyTextIndent3Char">
    <w:name w:val="Body Text Indent 3 Char"/>
    <w:basedOn w:val="DefaultParagraphFont"/>
    <w:link w:val="BodyTextIndent3"/>
    <w:uiPriority w:val="99"/>
    <w:semiHidden/>
    <w:rsid w:val="0057250C"/>
    <w:rPr>
      <w:rFonts w:ascii="Calibri" w:eastAsia="Calibri" w:hAnsi="Calibri"/>
      <w:sz w:val="16"/>
      <w:szCs w:val="16"/>
      <w:bdr w:val="none" w:sz="0" w:space="0" w:color="auto"/>
      <w:lang w:val="en-PH"/>
    </w:rPr>
  </w:style>
  <w:style w:type="paragraph" w:customStyle="1" w:styleId="Pa1">
    <w:name w:val="Pa1"/>
    <w:basedOn w:val="Default"/>
    <w:next w:val="Default"/>
    <w:uiPriority w:val="99"/>
    <w:rsid w:val="005725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sz w:val="24"/>
      <w:szCs w:val="24"/>
      <w:bdr w:val="none" w:sz="0" w:space="0" w:color="auto"/>
    </w:rPr>
  </w:style>
  <w:style w:type="paragraph" w:customStyle="1" w:styleId="Pa70">
    <w:name w:val="Pa70"/>
    <w:basedOn w:val="Default"/>
    <w:next w:val="Default"/>
    <w:uiPriority w:val="99"/>
    <w:rsid w:val="005725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sz w:val="24"/>
      <w:szCs w:val="24"/>
      <w:bdr w:val="none" w:sz="0" w:space="0" w:color="auto"/>
    </w:rPr>
  </w:style>
  <w:style w:type="character" w:customStyle="1" w:styleId="A6">
    <w:name w:val="A6"/>
    <w:uiPriority w:val="99"/>
    <w:rsid w:val="0057250C"/>
    <w:rPr>
      <w:color w:val="000000"/>
      <w:sz w:val="22"/>
      <w:szCs w:val="22"/>
    </w:rPr>
  </w:style>
  <w:style w:type="paragraph" w:customStyle="1" w:styleId="ta">
    <w:name w:val="ta"/>
    <w:basedOn w:val="Body"/>
    <w:rsid w:val="00C14B3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hAnsi="Times New Roman"/>
      <w:b/>
      <w:bCs/>
      <w:sz w:val="24"/>
      <w:szCs w:val="24"/>
      <w:bdr w:val="none" w:sz="0" w:space="0" w:color="auto"/>
      <w:lang w:bidi="en-US"/>
    </w:rPr>
  </w:style>
  <w:style w:type="paragraph" w:customStyle="1" w:styleId="norma">
    <w:name w:val="norma"/>
    <w:basedOn w:val="ListParagraph"/>
    <w:rsid w:val="00396B5C"/>
    <w:pPr>
      <w:numPr>
        <w:numId w:val="27"/>
      </w:numPr>
      <w:jc w:val="both"/>
      <w:outlineLvl w:val="0"/>
    </w:pPr>
    <w:rPr>
      <w:b/>
      <w:color w:val="000000" w:themeColor="text1"/>
      <w:sz w:val="24"/>
      <w:szCs w:val="24"/>
    </w:rPr>
  </w:style>
  <w:style w:type="paragraph" w:customStyle="1" w:styleId="header3">
    <w:name w:val="header 3"/>
    <w:basedOn w:val="ListParagraph"/>
    <w:rsid w:val="00FA798D"/>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0"/>
    </w:pPr>
    <w:rPr>
      <w:b/>
      <w:i/>
      <w:color w:val="000000" w:themeColor="text1"/>
      <w:sz w:val="24"/>
      <w:szCs w:val="24"/>
    </w:rPr>
  </w:style>
  <w:style w:type="paragraph" w:customStyle="1" w:styleId="header2">
    <w:name w:val="header 2"/>
    <w:basedOn w:val="header3"/>
    <w:rsid w:val="00FA798D"/>
    <w:rPr>
      <w:rFonts w:cs="Times New Roman"/>
      <w:color w:val="auto"/>
    </w:rPr>
  </w:style>
  <w:style w:type="character" w:styleId="FollowedHyperlink">
    <w:name w:val="FollowedHyperlink"/>
    <w:basedOn w:val="DefaultParagraphFont"/>
    <w:uiPriority w:val="99"/>
    <w:semiHidden/>
    <w:unhideWhenUsed/>
    <w:rsid w:val="00B942CD"/>
    <w:rPr>
      <w:color w:val="FF00FF" w:themeColor="followedHyperlink"/>
      <w:u w:val="single"/>
    </w:rPr>
  </w:style>
  <w:style w:type="character" w:styleId="UnresolvedMention">
    <w:name w:val="Unresolved Mention"/>
    <w:basedOn w:val="DefaultParagraphFont"/>
    <w:uiPriority w:val="99"/>
    <w:rsid w:val="002F2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8656">
      <w:bodyDiv w:val="1"/>
      <w:marLeft w:val="0"/>
      <w:marRight w:val="0"/>
      <w:marTop w:val="0"/>
      <w:marBottom w:val="0"/>
      <w:divBdr>
        <w:top w:val="none" w:sz="0" w:space="0" w:color="auto"/>
        <w:left w:val="none" w:sz="0" w:space="0" w:color="auto"/>
        <w:bottom w:val="none" w:sz="0" w:space="0" w:color="auto"/>
        <w:right w:val="none" w:sz="0" w:space="0" w:color="auto"/>
      </w:divBdr>
    </w:div>
    <w:div w:id="442383712">
      <w:bodyDiv w:val="1"/>
      <w:marLeft w:val="0"/>
      <w:marRight w:val="0"/>
      <w:marTop w:val="0"/>
      <w:marBottom w:val="0"/>
      <w:divBdr>
        <w:top w:val="none" w:sz="0" w:space="0" w:color="auto"/>
        <w:left w:val="none" w:sz="0" w:space="0" w:color="auto"/>
        <w:bottom w:val="none" w:sz="0" w:space="0" w:color="auto"/>
        <w:right w:val="none" w:sz="0" w:space="0" w:color="auto"/>
      </w:divBdr>
    </w:div>
    <w:div w:id="601841037">
      <w:bodyDiv w:val="1"/>
      <w:marLeft w:val="0"/>
      <w:marRight w:val="0"/>
      <w:marTop w:val="0"/>
      <w:marBottom w:val="0"/>
      <w:divBdr>
        <w:top w:val="none" w:sz="0" w:space="0" w:color="auto"/>
        <w:left w:val="none" w:sz="0" w:space="0" w:color="auto"/>
        <w:bottom w:val="none" w:sz="0" w:space="0" w:color="auto"/>
        <w:right w:val="none" w:sz="0" w:space="0" w:color="auto"/>
      </w:divBdr>
    </w:div>
    <w:div w:id="655837452">
      <w:bodyDiv w:val="1"/>
      <w:marLeft w:val="0"/>
      <w:marRight w:val="0"/>
      <w:marTop w:val="0"/>
      <w:marBottom w:val="0"/>
      <w:divBdr>
        <w:top w:val="none" w:sz="0" w:space="0" w:color="auto"/>
        <w:left w:val="none" w:sz="0" w:space="0" w:color="auto"/>
        <w:bottom w:val="none" w:sz="0" w:space="0" w:color="auto"/>
        <w:right w:val="none" w:sz="0" w:space="0" w:color="auto"/>
      </w:divBdr>
    </w:div>
    <w:div w:id="1287616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wl.purdue.edu/owl/research_and_citation/apa_style/apa_formatting_and_style_guide/apa_changes_7th_edi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Asi02</b:Tag>
    <b:SourceType>Book</b:SourceType>
    <b:Guid>{7FB4F37F-158E-4F46-9FE9-4B0BF77B6840}</b:Guid>
    <b:Author>
      <b:Author>
        <b:Corporate>Asian Development Bank</b:Corporate>
      </b:Author>
    </b:Author>
    <b:Title>Indigenous peoples/ethnic minorities and poverty reduction: Philippines</b:Title>
    <b:City>Manila</b:City>
    <b:CountryRegion>Philippines</b:CountryRegion>
    <b:Publisher>Asian Development Bank</b:Publisher>
    <b:Year>2002</b:Year>
    <b:RefOrder>1</b:RefOrder>
  </b:Source>
  <b:Source>
    <b:Tag>Par00</b:Tag>
    <b:SourceType>Book</b:SourceType>
    <b:Guid>{0DA22541-0802-264B-B696-001BF01E0A2F}</b:Guid>
    <b:Title>Rethinking multiculturalism: Cultural diversity and political theory</b:Title>
    <b:Publisher>Harvard University Press</b:Publisher>
    <b:City>Boston</b:City>
    <b:Year>2000</b:Year>
    <b:StateProvince>MA</b:StateProvince>
    <b:Author>
      <b:Author>
        <b:NameList>
          <b:Person>
            <b:Last>Parekh</b:Last>
            <b:First>B.</b:First>
          </b:Person>
        </b:NameList>
      </b:Author>
    </b:Author>
    <b:RefOrder>2</b:RefOrder>
  </b:Source>
  <b:Source>
    <b:Tag>See97</b:Tag>
    <b:SourceType>JournalArticle</b:SourceType>
    <b:Guid>{DD57639E-4C0E-7D47-9437-84C301E64C1A}</b:Guid>
    <b:Title>The Chinese in the Philippines: Continuity and change</b:Title>
    <b:Year>1997</b:Year>
    <b:Volume>33</b:Volume>
    <b:Pages>69-82</b:Pages>
    <b:Author>
      <b:Author>
        <b:NameList>
          <b:Person>
            <b:Last>Ang See</b:Last>
            <b:First>T.</b:First>
          </b:Person>
        </b:NameList>
      </b:Author>
    </b:Author>
    <b:JournalName>Asian Studies</b:JournalName>
    <b:RefOrder>3</b:RefOrder>
  </b:Source>
  <b:Source>
    <b:Tag>Tan86</b:Tag>
    <b:SourceType>JournalArticle</b:SourceType>
    <b:Guid>{6C8C51EC-FA62-7544-97C9-572981214838}</b:Guid>
    <b:Title>The Chinese mestizos and the formation of the Filipino nationality</b:Title>
    <b:JournalName>Archipel</b:JournalName>
    <b:Year>1986</b:Year>
    <b:Volume>32</b:Volume>
    <b:Issue>1</b:Issue>
    <b:Pages>141-162</b:Pages>
    <b:Author>
      <b:Author>
        <b:NameList>
          <b:Person>
            <b:Last>Tan</b:Last>
            <b:First>A.</b:First>
          </b:Person>
        </b:NameList>
      </b:Author>
    </b:Author>
    <b:RefOrder>4</b:RefOrder>
  </b:Source>
  <b:Source>
    <b:Tag>Int13</b:Tag>
    <b:SourceType>Report</b:SourceType>
    <b:Guid>{0026AC12-22EF-1449-8299-25DC0DBCE784}</b:Guid>
    <b:Author>
      <b:Author>
        <b:Corporate>International Organization for Migration</b:Corporate>
      </b:Author>
    </b:Author>
    <b:Title>Country migration report: The Philippines 2013</b:Title>
    <b:City>Manila</b:City>
    <b:Publisher>International Organization for Migration</b:Publisher>
    <b:Year>2013</b:Year>
    <b:RefOrder>5</b:RefOrder>
  </b:Source>
  <b:Source>
    <b:Tag>Mah12</b:Tag>
    <b:SourceType>JournalArticle</b:SourceType>
    <b:Guid>{B2A4E4E9-4155-4F4F-832F-23549A091A16}</b:Guid>
    <b:Title>Language and culture</b:Title>
    <b:Year>2012</b:Year>
    <b:Volume>2</b:Volume>
    <b:Pages>230-235</b:Pages>
    <b:Author>
      <b:Author>
        <b:NameList>
          <b:Person>
            <b:Last>Mahadi</b:Last>
            <b:First>T.</b:First>
          </b:Person>
          <b:Person>
            <b:Last>Jafari</b:Last>
            <b:First>S.</b:First>
          </b:Person>
        </b:NameList>
      </b:Author>
    </b:Author>
    <b:JournalName>International Journal of Humanities and Social Science</b:JournalName>
    <b:Issue>17</b:Issue>
    <b:RefOrder>6</b:RefOrder>
  </b:Source>
  <b:Source>
    <b:Tag>Lew141</b:Tag>
    <b:SourceType>ElectronicSource</b:SourceType>
    <b:Guid>{23F9ADD1-5870-BD48-BF5F-5C5B1DD6009C}</b:Guid>
    <b:Title>Ethnologue: Languages of the world, seventeenth edition</b:Title>
    <b:City>Dallas</b:City>
    <b:StateProvince>TX</b:StateProvince>
    <b:Year>2014</b:Year>
    <b:Author>
      <b:Author>
        <b:NameList>
          <b:Person>
            <b:Last>Lewis</b:Last>
            <b:First>M.</b:First>
          </b:Person>
          <b:Person>
            <b:Last>Simons</b:Last>
            <b:First>G.</b:First>
          </b:Person>
          <b:Person>
            <b:Last>Fennig</b:Last>
            <b:First>C.</b:First>
          </b:Person>
        </b:NameList>
      </b:Author>
    </b:Author>
    <b:RefOrder>7</b:RefOrder>
  </b:Source>
  <b:Source>
    <b:Tag>Rub98</b:Tag>
    <b:SourceType>InternetSite</b:SourceType>
    <b:Guid>{0876598A-DB36-8947-8ADC-18754C8416E6}</b:Guid>
    <b:Title>The metamorphosis of Filipino as national language</b:Title>
    <b:Year>1998</b:Year>
    <b:Author>
      <b:Author>
        <b:NameList>
          <b:Person>
            <b:Last>Rubrico</b:Last>
            <b:First>J.</b:First>
          </b:Person>
        </b:NameList>
      </b:Author>
    </b:Author>
    <b:InternetSiteTitle>Language Links</b:InternetSiteTitle>
    <b:URL>http://languagelinks.org/oldsite/pdf/fil_met.pdf</b:URL>
    <b:YearAccessed>2015</b:YearAccessed>
    <b:MonthAccessed>November</b:MonthAccessed>
    <b:DayAccessed>28</b:DayAccessed>
    <b:RefOrder>8</b:RefOrder>
  </b:Source>
  <b:Source>
    <b:Tag>Tan10</b:Tag>
    <b:SourceType>JournalArticle</b:SourceType>
    <b:Guid>{DFEE73FA-39C2-5C4B-A097-28968F028265}</b:Guid>
    <b:Title>Singapore Hokkien adjectives</b:Title>
    <b:Year>2010</b:Year>
    <b:JournalName>Unpublished Masters Thesis</b:JournalName>
    <b:Author>
      <b:Author>
        <b:NameList>
          <b:Person>
            <b:Last>Tan</b:Last>
            <b:First>K.</b:First>
          </b:Person>
        </b:NameList>
      </b:Author>
    </b:Author>
    <b:PublicationTitle>Singapore Hokkien Adjectives</b:PublicationTitle>
    <b:RefOrder>9</b:RefOrder>
  </b:Source>
  <b:Source>
    <b:Tag>Yen06</b:Tag>
    <b:SourceType>JournalArticle</b:SourceType>
    <b:Guid>{88E31CF5-4BDD-6A40-A245-1235462A1330}</b:Guid>
    <b:Title>The role of Chinese Hokkien in the history of Malaysia and Singapore</b:Title>
    <b:JournalName>Journal of Malaysian Chinese Studies</b:JournalName>
    <b:Year>2006</b:Year>
    <b:Volume>6</b:Volume>
    <b:Pages>79-104</b:Pages>
    <b:Author>
      <b:Author>
        <b:NameList>
          <b:Person>
            <b:Last>Yen</b:Last>
            <b:First>C.H.</b:First>
          </b:Person>
        </b:NameList>
      </b:Author>
    </b:Author>
    <b:RefOrder>10</b:RefOrder>
  </b:Source>
  <b:Source>
    <b:Tag>Soo07</b:Tag>
    <b:SourceType>ConferenceProceedings</b:SourceType>
    <b:Guid>{41027C1C-1EFA-B046-9027-7877D4EE19DB}</b:Guid>
    <b:Title>Malay lexicalized items in Penang Peranakan Hokkien</b:Title>
    <b:Publisher>Pacific Linguistics</b:Publisher>
    <b:City>Canberra</b:City>
    <b:Year>2007</b:Year>
    <b:Pages>149-165</b:Pages>
    <b:Author>
      <b:Author>
        <b:NameList>
          <b:Person>
            <b:Last>Soon</b:Last>
            <b:First>L.</b:First>
          </b:Person>
          <b:Person>
            <b:Last>Seong</b:Last>
            <b:First>T.</b:First>
          </b:Person>
        </b:NameList>
      </b:Author>
    </b:Author>
    <b:ConferenceName>SEALSVIII: papers from the 8th meeting of the Southeast Asian Linguistics Society</b:ConferenceName>
    <b:RefOrder>11</b:RefOrder>
  </b:Source>
  <b:Source>
    <b:Tag>WuK08</b:Tag>
    <b:SourceType>JournalArticle</b:SourceType>
    <b:Guid>{DFBF4880-C310-2245-8F25-6D26A27D0D01}</b:Guid>
    <b:Title>臺灣閩南語之淵源與正名</b:Title>
    <b:Year>2008</b:Year>
    <b:Pages>54-73</b:Pages>
    <b:Author>
      <b:Author>
        <b:NameList>
          <b:Person>
            <b:Last>Wu</b:Last>
            <b:First>K.M.</b:First>
          </b:Person>
        </b:NameList>
      </b:Author>
    </b:Author>
    <b:JournalName>Taiwan Studies Research (臺灣學研究)</b:JournalName>
    <b:RefOrder>12</b:RefOrder>
  </b:Source>
  <b:Source>
    <b:Tag>XuH11</b:Tag>
    <b:SourceType>JournalArticle</b:SourceType>
    <b:Guid>{B3BF0ECE-2F80-6B4D-B93E-4AAFFCF848D1}</b:Guid>
    <b:Title>以自然語料觀察字頻典語音變化的關係: 以台南台語schwa元音為例*</b:Title>
    <b:JournalName>台灣學誌</b:JournalName>
    <b:Year>2011</b:Year>
    <b:Volume>4</b:Volume>
    <b:Pages>87-107</b:Pages>
    <b:Author>
      <b:Author>
        <b:NameList>
          <b:Person>
            <b:Last>Xu</b:Last>
            <b:First>H.R.</b:First>
          </b:Person>
        </b:NameList>
      </b:Author>
    </b:Author>
    <b:RefOrder>13</b:RefOrder>
  </b:Source>
  <b:Source>
    <b:Tag>Lin15</b:Tag>
    <b:SourceType>Book</b:SourceType>
    <b:Guid>{2D702CC9-A09A-DA46-ADFC-96EA772CE651}</b:Guid>
    <b:Title>Taiwanese grammar: A concise reference</b:Title>
    <b:Publisher>Greenhorn Media</b:Publisher>
    <b:Year>2015</b:Year>
    <b:Author>
      <b:Author>
        <b:NameList>
          <b:Person>
            <b:Last>Lin</b:Last>
            <b:First>P.</b:First>
          </b:Person>
        </b:NameList>
      </b:Author>
    </b:Author>
    <b:RefOrder>14</b:RefOrder>
  </b:Source>
  <b:Source>
    <b:Tag>Cui12</b:Tag>
    <b:SourceType>JournalArticle</b:SourceType>
    <b:Guid>{5A6B9D40-B884-8E42-9614-106471361ACD}</b:Guid>
    <b:Title>Hokkien Chinese borrowings on cookery in Tagalog</b:Title>
    <b:Year>2012</b:Year>
    <b:Volume>2</b:Volume>
    <b:Pages>566-571</b:Pages>
    <b:JournalName>Theory and Practice in Language Studies</b:JournalName>
    <b:Issue>3</b:Issue>
    <b:Author>
      <b:Author>
        <b:NameList>
          <b:Person>
            <b:Last>Cui</b:Last>
            <b:First>X.</b:First>
          </b:Person>
        </b:NameList>
      </b:Author>
    </b:Author>
    <b:RefOrder>15</b:RefOrder>
  </b:Source>
  <b:Source>
    <b:Tag>Zul07</b:Tag>
    <b:SourceType>JournalArticle</b:SourceType>
    <b:Guid>{10D33438-7AEF-4843-BB70-AD9FB17D9A6D}</b:Guid>
    <b:Title>"I speak Chinese but..." Code-switching and identity construction among Chinese-Filipino youth</b:Title>
    <b:JournalName>Caligrama</b:JournalName>
    <b:Year>2007</b:Year>
    <b:Volume>3</b:Volume>
    <b:Issue>2</b:Issue>
    <b:Author>
      <b:Author>
        <b:NameList>
          <b:Person>
            <b:Last>Zulueta</b:Last>
            <b:First>J.</b:First>
          </b:Person>
        </b:NameList>
      </b:Author>
    </b:Author>
    <b:RefOrder>16</b:RefOrder>
  </b:Source>
  <b:Source>
    <b:Tag>Vol15</b:Tag>
    <b:SourceType>InternetSite</b:SourceType>
    <b:Guid>{77F966A9-E626-DD4B-BC2D-B2CAC01D0201}</b:Guid>
    <b:Title>Globalisation spells the death of minority cultures</b:Title>
    <b:Year>2015</b:Year>
    <b:InternetSiteTitle>South China Morning Post</b:InternetSiteTitle>
    <b:URL>www. scmp.com/lifestyle/family-education/acticle/1742863</b:URL>
    <b:Author>
      <b:Author>
        <b:NameList>
          <b:Person>
            <b:Last>Volodzko</b:Last>
            <b:First>D.</b:First>
          </b:Person>
        </b:NameList>
      </b:Author>
    </b:Author>
    <b:RefOrder>17</b:RefOrder>
  </b:Source>
  <b:Source>
    <b:Tag>Bul09</b:Tag>
    <b:SourceType>BookSection</b:SourceType>
    <b:Guid>{CF666E65-ABC8-7241-B132-A58AE45981D2}</b:Guid>
    <b:Title>Themes in the study of code-switching</b:Title>
    <b:Year>2009</b:Year>
    <b:BookTitle>The Cambridge handbook of linguistic code-switching</b:BookTitle>
    <b:City>Cambridge</b:City>
    <b:Publisher>Cambridge University Press</b:Publisher>
    <b:Pages>1-18</b:Pages>
    <b:Author>
      <b:Author>
        <b:NameList>
          <b:Person>
            <b:Last>Bullock</b:Last>
            <b:First>B.</b:First>
          </b:Person>
          <b:Person>
            <b:Last>Toribio</b:Last>
            <b:First>A.</b:First>
          </b:Person>
        </b:NameList>
      </b:Author>
      <b:BookAuthor>
        <b:NameList>
          <b:Person>
            <b:Last>Bullock</b:Last>
            <b:First>B.</b:First>
          </b:Person>
          <b:Person>
            <b:Last>Toribio</b:Last>
            <b:First>A.</b:First>
          </b:Person>
        </b:NameList>
      </b:BookAuthor>
    </b:Author>
    <b:RefOrder>18</b:RefOrder>
  </b:Source>
  <b:Source>
    <b:Tag>Gum82</b:Tag>
    <b:SourceType>Book</b:SourceType>
    <b:Guid>{1FA2635C-2CBA-AF47-991E-D508778D923F}</b:Guid>
    <b:Title>Discourse strategies</b:Title>
    <b:City>Cambridge</b:City>
    <b:Publisher>Cambridge University Press</b:Publisher>
    <b:Year>1982</b:Year>
    <b:Author>
      <b:Author>
        <b:NameList>
          <b:Person>
            <b:Last>Gumperz</b:Last>
            <b:First>J.</b:First>
          </b:Person>
        </b:NameList>
      </b:Author>
    </b:Author>
    <b:RefOrder>19</b:RefOrder>
  </b:Source>
  <b:Source>
    <b:Tag>Ber05</b:Tag>
    <b:SourceType>BookSection</b:SourceType>
    <b:Guid>{64B06277-8E92-9644-9D99-B031AAB288CB}</b:Guid>
    <b:Author>
      <b:Author>
        <b:NameList>
          <b:Person>
            <b:Last>Bernardo</b:Last>
            <b:First>A.</b:First>
          </b:Person>
        </b:NameList>
      </b:Author>
      <b:BookAuthor>
        <b:NameList>
          <b:Person>
            <b:Last>Dayag</b:Last>
            <b:First>D.</b:First>
          </b:Person>
          <b:Person>
            <b:Last>Quakenbush</b:Last>
            <b:First>J.</b:First>
          </b:Person>
        </b:NameList>
      </b:BookAuthor>
    </b:Author>
    <b:Title>Bilingual code-switching as a resource for learning and teaching: Alternative reflections on the language and education issue in the Philippines</b:Title>
    <b:Publisher>Linguistic Society of the Philippines</b:Publisher>
    <b:City>Manila</b:City>
    <b:Year>2005</b:Year>
    <b:Pages>151-169</b:Pages>
    <b:BookTitle>Linguistics and language education in the Philippines and beyond: A Festschrift in honor of Ma. Lourdes S. Bautista</b:BookTitle>
    <b:RefOrder>20</b:RefOrder>
  </b:Source>
  <b:Source>
    <b:Tag>Mye93</b:Tag>
    <b:SourceType>Book</b:SourceType>
    <b:Guid>{1A45C337-591D-B94F-B4F1-7B1A6DBA4DE5}</b:Guid>
    <b:Title>Duelling languages: Grammatical structure in code switching</b:Title>
    <b:City>Oxford</b:City>
    <b:Publisher>Oxford University Press</b:Publisher>
    <b:Year>1993</b:Year>
    <b:Author>
      <b:Author>
        <b:NameList>
          <b:Person>
            <b:Last>Myers-Scotton</b:Last>
            <b:First>C.</b:First>
          </b:Person>
        </b:NameList>
      </b:Author>
    </b:Author>
    <b:RefOrder>21</b:RefOrder>
  </b:Source>
  <b:Source>
    <b:Tag>Muy00</b:Tag>
    <b:SourceType>Book</b:SourceType>
    <b:Guid>{19A33A21-BAE4-CE43-9972-1E086050300E}</b:Guid>
    <b:Title>Bilingual speech: A typology of code-mixing</b:Title>
    <b:City>Cambridge and New York</b:City>
    <b:Publisher>Cambridge University Press</b:Publisher>
    <b:Year>2000</b:Year>
    <b:Author>
      <b:Author>
        <b:NameList>
          <b:Person>
            <b:Last>Muysken</b:Last>
            <b:First>P.</b:First>
          </b:Person>
        </b:NameList>
      </b:Author>
    </b:Author>
    <b:RefOrder>22</b:RefOrder>
  </b:Source>
  <b:Source>
    <b:Tag>Pop80</b:Tag>
    <b:SourceType>JournalArticle</b:SourceType>
    <b:Guid>{934CA9EB-2899-B64E-B8CF-8CC4072AD664}</b:Guid>
    <b:Title>Sometimes I'll start a sentence in Spanish y termino en Español: Toward a typology of code-switching</b:Title>
    <b:Year>1980</b:Year>
    <b:Volume>18</b:Volume>
    <b:Pages>581-618</b:Pages>
    <b:Author>
      <b:Author>
        <b:NameList>
          <b:Person>
            <b:Last>Poplack</b:Last>
            <b:First>S.</b:First>
          </b:Person>
        </b:NameList>
      </b:Author>
    </b:Author>
    <b:JournalName>Linguistics</b:JournalName>
    <b:Issue>7-8</b:Issue>
    <b:RefOrder>23</b:RefOrder>
  </b:Source>
  <b:Source>
    <b:Tag>Tre91</b:Tag>
    <b:SourceType>BookSection</b:SourceType>
    <b:Guid>{73FA23E0-CFE4-434C-AFC6-40363EA0639A}</b:Guid>
    <b:Title>Towards a uniform approach to code-switching and borrowing</b:Title>
    <b:Publisher>European Science Foundation</b:Publisher>
    <b:City>Strasbourg</b:City>
    <b:Year>1991</b:Year>
    <b:Pages>259-279</b:Pages>
    <b:Author>
      <b:Author>
        <b:NameList>
          <b:Person>
            <b:Last>Treffers-Daller</b:Last>
            <b:First>J.</b:First>
          </b:Person>
        </b:NameList>
      </b:Author>
    </b:Author>
    <b:BookTitle>Papers for the workshop on contraints, conditions and models</b:BookTitle>
    <b:RefOrder>24</b:RefOrder>
  </b:Source>
  <b:Source>
    <b:Tag>Sib96</b:Tag>
    <b:SourceType>BookSection</b:SourceType>
    <b:Guid>{3BCD26BB-D8E9-E940-9BB4-DFC0C416C874}</b:Guid>
    <b:Title>Post-imperial English in the Philippines</b:Title>
    <b:City>New York</b:City>
    <b:StateProvince>NY</b:StateProvince>
    <b:Year>1996</b:Year>
    <b:Publisher>Mouton de Gruyter</b:Publisher>
    <b:BookTitle>Post-imperial English: status change in former British and American colonies</b:BookTitle>
    <b:Pages>1094-1990</b:Pages>
    <b:Author>
      <b:Author>
        <b:NameList>
          <b:Person>
            <b:Last>Sibayan</b:Last>
            <b:First>B.</b:First>
          </b:Person>
          <b:Person>
            <b:Last>Gonzalez</b:Last>
            <b:First>A.</b:First>
          </b:Person>
        </b:NameList>
      </b:Author>
      <b:Editor>
        <b:NameList>
          <b:Person>
            <b:Last>Fishman</b:Last>
            <b:Middle>A.</b:Middle>
            <b:First>Joshua</b:First>
          </b:Person>
          <b:Person>
            <b:Last>Conrad</b:Last>
            <b:Middle>W.</b:Middle>
            <b:First>Andrew</b:First>
          </b:Person>
          <b:Person>
            <b:Last>Rubal-Lopez</b:Last>
            <b:First>Alma</b:First>
          </b:Person>
        </b:NameList>
      </b:Editor>
    </b:Author>
    <b:RefOrder>25</b:RefOrder>
  </b:Source>
  <b:Source>
    <b:Tag>Tol91</b:Tag>
    <b:SourceType>Book</b:SourceType>
    <b:Guid>{0B206C90-D189-4041-824D-0A350A1B72D8}</b:Guid>
    <b:Title>Planning language, planning inequality: language policy in the community</b:Title>
    <b:City>London</b:City>
    <b:Publisher>Longman</b:Publisher>
    <b:Year>1991</b:Year>
    <b:Author>
      <b:Author>
        <b:NameList>
          <b:Person>
            <b:Last>Tollefson</b:Last>
            <b:First>J.Q.</b:First>
          </b:Person>
        </b:NameList>
      </b:Author>
    </b:Author>
    <b:RefOrder>26</b:RefOrder>
  </b:Source>
  <b:Source>
    <b:Tag>Mal91</b:Tag>
    <b:SourceType>BookSection</b:SourceType>
    <b:Guid>{78708817-6ECB-9549-948D-B74FED5F180D}</b:Guid>
    <b:Title>Translation skill and metalinguistic awareness in bilingual</b:Title>
    <b:City>Cambridge</b:City>
    <b:CountryRegion>UK</b:CountryRegion>
    <b:Publisher>Cambridge University Press</b:Publisher>
    <b:Year>1991</b:Year>
    <b:Pages>141-166</b:Pages>
    <b:Author>
      <b:Author>
        <b:NameList>
          <b:Person>
            <b:Last>Malakoff</b:Last>
            <b:First>M.</b:First>
          </b:Person>
          <b:Person>
            <b:Last>Hakuta</b:Last>
            <b:First>K.</b:First>
          </b:Person>
        </b:NameList>
      </b:Author>
      <b:BookAuthor>
        <b:NameList>
          <b:Person>
            <b:Last>Bialystok</b:Last>
            <b:First>E.</b:First>
          </b:Person>
        </b:NameList>
      </b:BookAuthor>
    </b:Author>
    <b:BookTitle>Language processing in bilingual children</b:BookTitle>
    <b:RefOrder>27</b:RefOrder>
  </b:Source>
  <b:Source>
    <b:Tag>Pal81</b:Tag>
    <b:SourceType>JournalArticle</b:SourceType>
    <b:Guid>{C4A153AD-1B2F-ED43-B385-A8F3B7A17DDA}</b:Guid>
    <b:Title>An analysis of shifts from Waray to English in the oral speech samples of Eastern Samar teachers</b:Title>
    <b:JournalName>Master's Thesis</b:JournalName>
    <b:Year>1981</b:Year>
    <b:Author>
      <b:Author>
        <b:NameList>
          <b:Person>
            <b:Last>Palines</b:Last>
            <b:First>G.A.</b:First>
          </b:Person>
        </b:NameList>
      </b:Author>
    </b:Author>
    <b:RefOrder>28</b:RefOrder>
  </b:Source>
  <b:Source>
    <b:Tag>Aba15</b:Tag>
    <b:SourceType>JournalArticle</b:SourceType>
    <b:Guid>{F4093B3C-556A-D840-8778-6326EFDC2FC7}</b:Guid>
    <b:Title>Divergence in Cebuano and English code-switching practices in Cebuano speech communities in the central Philippines</b:Title>
    <b:JournalName>Master's Thesis</b:JournalName>
    <b:Year>2015</b:Year>
    <b:Author>
      <b:Author>
        <b:NameList>
          <b:Person>
            <b:Last>Abastillas</b:Last>
            <b:First>G.</b:First>
          </b:Person>
        </b:NameList>
      </b:Author>
    </b:Author>
    <b:RefOrder>29</b:RefOrder>
  </b:Source>
  <b:Source>
    <b:Tag>Bau04</b:Tag>
    <b:SourceType>JournalArticle</b:SourceType>
    <b:Guid>{792F2643-E48A-3C49-9FC0-6BD871F112ED}</b:Guid>
    <b:Title>Tagalog-English code switching as a mode of discourse</b:Title>
    <b:JournalName>Asia Pacific Education Review</b:JournalName>
    <b:Year>2004</b:Year>
    <b:Volume>5</b:Volume>
    <b:Issue>2</b:Issue>
    <b:Pages>226-233</b:Pages>
    <b:Author>
      <b:Author>
        <b:NameList>
          <b:Person>
            <b:Last>Bautista</b:Last>
            <b:First>M.L.</b:First>
          </b:Person>
        </b:NameList>
      </b:Author>
    </b:Author>
    <b:RefOrder>30</b:RefOrder>
  </b:Source>
  <b:Source>
    <b:Tag>Lab13</b:Tag>
    <b:SourceType>JournalArticle</b:SourceType>
    <b:Guid>{8B84B644-5230-5549-83C6-B317F64398EC}</b:Guid>
    <b:Title>Tagalog-English code-switching: issues in the nominal domain</b:Title>
    <b:JournalName>Bachelor's Thesis</b:JournalName>
    <b:Year>2013</b:Year>
    <b:Author>
      <b:Author>
        <b:NameList>
          <b:Person>
            <b:Last>Labitigan</b:Last>
            <b:First>R.L.</b:First>
          </b:Person>
        </b:NameList>
      </b:Author>
    </b:Author>
    <b:RefOrder>31</b:RefOrder>
  </b:Source>
  <b:Source>
    <b:Tag>Sme06</b:Tag>
    <b:SourceType>JournalArticle</b:SourceType>
    <b:Guid>{25DCCB7C-FD8E-B849-A2C5-B03C9A26F896}</b:Guid>
    <b:Title>Code-switching and identity on the blogs: An analysis of Taglish in computer mediated communication</b:Title>
    <b:JournalName>Masters Thesis</b:JournalName>
    <b:Year>2006</b:Year>
    <b:Author>
      <b:Author>
        <b:NameList>
          <b:Person>
            <b:Last>Smedley</b:Last>
            <b:First>F.</b:First>
          </b:Person>
        </b:NameList>
      </b:Author>
    </b:Author>
    <b:RefOrder>32</b:RefOrder>
  </b:Source>
  <b:Source>
    <b:Tag>Bor091</b:Tag>
    <b:SourceType>JournalArticle</b:SourceType>
    <b:Guid>{70F287E8-3D65-DA43-95B9-5A92091784BC}</b:Guid>
    <b:Title>Tagalog-English code-switching in English language classes: Frequency and forms</b:Title>
    <b:Year>2009</b:Year>
    <b:Volume>1</b:Volume>
    <b:Pages>28-42</b:Pages>
    <b:Author>
      <b:Author>
        <b:NameList>
          <b:Person>
            <b:Last>Borlongan</b:Last>
            <b:First>A.</b:First>
          </b:Person>
        </b:NameList>
      </b:Author>
    </b:Author>
    <b:JournalName>TESOL Journal</b:JournalName>
    <b:RefOrder>33</b:RefOrder>
  </b:Source>
  <b:Source>
    <b:Tag>Val15</b:Tag>
    <b:SourceType>JournalArticle</b:SourceType>
    <b:Guid>{6D5A3EEC-248C-654E-B756-B1C79D380C10}</b:Guid>
    <b:Title>Filipino-English code switching attitudes and practices and their relationshi to English academic performance among freshman students of Quirino State University</b:Title>
    <b:JournalName>International Journal of English Language Teaching</b:JournalName>
    <b:Year>2015</b:Year>
    <b:Volume>2</b:Volume>
    <b:Issue>1</b:Issue>
    <b:Pages>76-98</b:Pages>
    <b:Author>
      <b:Author>
        <b:NameList>
          <b:Person>
            <b:Last>Valerio</b:Last>
            <b:First>T.</b:First>
          </b:Person>
        </b:NameList>
      </b:Author>
    </b:Author>
    <b:RefOrder>34</b:RefOrder>
  </b:Source>
  <b:Source>
    <b:Tag>Hon11</b:Tag>
    <b:SourceType>JournalArticle</b:SourceType>
    <b:Guid>{E09BB64E-46C5-914C-89C5-E81A5D228054}</b:Guid>
    <b:Title>Code-switching and vitality</b:Title>
    <b:JournalName>Unpublished Course Paper</b:JournalName>
    <b:Year>2011</b:Year>
    <b:Author>
      <b:Author>
        <b:NameList>
          <b:Person>
            <b:Last>Hong</b:Last>
            <b:First>Y.Q.</b:First>
          </b:Person>
        </b:NameList>
      </b:Author>
    </b:Author>
    <b:RefOrder>35</b:RefOrder>
  </b:Source>
  <b:Source>
    <b:Tag>SuR06</b:Tag>
    <b:SourceType>JournalArticle</b:SourceType>
    <b:Guid>{90A2D0EF-FF6C-6F4A-9E60-41A20372F288}</b:Guid>
    <b:Title>Multiethnic influences in lexicon of Singlish and the dilemma of "Speak Good English Movement"</b:Title>
    <b:Year>2006</b:Year>
    <b:Pages>39-46</b:Pages>
    <b:JournalName>中正學報</b:JournalName>
    <b:Volume>7</b:Volume>
    <b:Author>
      <b:Author>
        <b:NameList>
          <b:Person>
            <b:Last>Su</b:Last>
            <b:First>R.Y.</b:First>
          </b:Person>
          <b:Person>
            <b:Last>Zhu</b:Last>
            <b:First>Q.N.</b:First>
          </b:Person>
        </b:NameList>
      </b:Author>
    </b:Author>
    <b:RefOrder>36</b:RefOrder>
  </b:Source>
  <b:Source>
    <b:Tag>Chu08</b:Tag>
    <b:SourceType>JournalArticle</b:SourceType>
    <b:Guid>{C2422B39-1940-CA46-9D8B-CCA11C8A9A02}</b:Guid>
    <b:Title>Language shift and language maintenance in a Singaporean Chinese family</b:Title>
    <b:JournalName>Thammasat International Journal of Science and Technology</b:JournalName>
    <b:Year>2008</b:Year>
    <b:Volume>21</b:Volume>
    <b:Issue>1</b:Issue>
    <b:Pages>73-90</b:Pages>
    <b:Author>
      <b:Author>
        <b:NameList>
          <b:Person>
            <b:Last>Chua</b:Last>
            <b:First>L.</b:First>
          </b:Person>
        </b:NameList>
      </b:Author>
    </b:Author>
    <b:RefOrder>37</b:RefOrder>
  </b:Source>
  <b:Source>
    <b:Tag>Pav04</b:Tag>
    <b:SourceType>Book</b:SourceType>
    <b:Guid>{CB77005C-7F4D-324B-A344-AFB18CD0ED07}</b:Guid>
    <b:Title>Negotiation of identities in multilingual contexts</b:Title>
    <b:Publisher>Multilingual Matters</b:Publisher>
    <b:City>Buffalo</b:City>
    <b:Year>2004</b:Year>
    <b:Author>
      <b:Author>
        <b:NameList>
          <b:Person>
            <b:Last>Pavlenko</b:Last>
            <b:First>A.</b:First>
          </b:Person>
          <b:Person>
            <b:Last>Blackledge</b:Last>
            <b:First>A.</b:First>
          </b:Person>
        </b:NameList>
      </b:Author>
    </b:Author>
    <b:RefOrder>38</b:RefOrder>
  </b:Source>
  <b:Source>
    <b:Tag>Ski97</b:Tag>
    <b:SourceType>JournalArticle</b:SourceType>
    <b:Guid>{CA963A3B-5909-9B48-9157-71FE626A14ED}</b:Guid>
    <b:Title>Code switching as a countenance of language interference</b:Title>
    <b:Year>1997</b:Year>
    <b:Volume>3</b:Volume>
    <b:Author>
      <b:Author>
        <b:NameList>
          <b:Person>
            <b:Last>Skiba</b:Last>
            <b:First>R.</b:First>
          </b:Person>
        </b:NameList>
      </b:Author>
    </b:Author>
    <b:JournalName>The Internet TESL Journal</b:JournalName>
    <b:Issue>10</b:Issue>
    <b:RefOrder>39</b:RefOrder>
  </b:Source>
  <b:Source>
    <b:Tag>Bak09</b:Tag>
    <b:SourceType>JournalArticle</b:SourceType>
    <b:Guid>{7F48F42D-6A62-9A4F-A0CB-1DDFDBFACF8B}</b:Guid>
    <b:Title>Code-switching in Kuala Lumpur: The "Rojak" phenomenon</b:Title>
    <b:Year>2009</b:Year>
    <b:Volume>9</b:Volume>
    <b:Pages>99-107</b:Pages>
    <b:Author>
      <b:Author>
        <b:NameList>
          <b:Person>
            <b:Last>Bakar</b:Last>
            <b:First>H.</b:First>
          </b:Person>
        </b:NameList>
      </b:Author>
    </b:Author>
    <b:JournalName>EXPLORATIONS: A Graduate Student Journal of Southeast Asian Studies</b:JournalName>
    <b:RefOrder>40</b:RefOrder>
  </b:Source>
  <b:Source>
    <b:Tag>Sar06</b:Tag>
    <b:SourceType>JournalArticle</b:SourceType>
    <b:Guid>{95BC674F-B3CA-A04A-B41C-365CB701A7A6}</b:Guid>
    <b:Title>Multilingual codeswitching in Quebec rap: Poetry, pragmatics and performativity</b:Title>
    <b:JournalName>International Journal of Multilingualism</b:JournalName>
    <b:Year>2006</b:Year>
    <b:Volume>3</b:Volume>
    <b:Issue>3</b:Issue>
    <b:Pages>173-192</b:Pages>
    <b:Author>
      <b:Author>
        <b:NameList>
          <b:Person>
            <b:Last>Sarkar</b:Last>
            <b:First>M.</b:First>
          </b:Person>
          <b:Person>
            <b:Last>Winer</b:Last>
            <b:First>L.</b:First>
          </b:Person>
        </b:NameList>
      </b:Author>
    </b:Author>
    <b:RefOrder>41</b:RefOrder>
  </b:Source>
  <b:Source>
    <b:Tag>Pit08</b:Tag>
    <b:SourceType>JournalArticle</b:SourceType>
    <b:Guid>{B8B5FA97-0AC2-2F44-A63B-DE01B6A6FD6A}</b:Guid>
    <b:Title>Bilingual and trilingual codeswitching between Hungarian, Romanian and English in the speech of two Transylvanians living in North America</b:Title>
    <b:JournalName>International Journal of Multilingualism</b:JournalName>
    <b:Year>2008</b:Year>
    <b:Volume>5</b:Volume>
    <b:Issue>2</b:Issue>
    <b:Pages>122-139</b:Pages>
    <b:Author>
      <b:Author>
        <b:NameList>
          <b:Person>
            <b:Last>Pittman</b:Last>
            <b:First>I.</b:First>
          </b:Person>
        </b:NameList>
      </b:Author>
    </b:Author>
    <b:RefOrder>42</b:RefOrder>
  </b:Source>
  <b:Source>
    <b:Tag>Kyu02</b:Tag>
    <b:SourceType>JournalArticle</b:SourceType>
    <b:Guid>{267D7C8E-C73F-3B45-9ED2-417B345545CC}</b:Guid>
    <b:Title>Code-switching among trilingual Turkish-speaking Roma children in Bulgaria</b:Title>
    <b:JournalName>Psychology of Language and Communication</b:JournalName>
    <b:Year>2002</b:Year>
    <b:Volume>6</b:Volume>
    <b:Issue>1</b:Issue>
    <b:Pages>75-84</b:Pages>
    <b:Author>
      <b:Author>
        <b:NameList>
          <b:Person>
            <b:Last>Kyuchukov</b:Last>
            <b:First>H.</b:First>
          </b:Person>
        </b:NameList>
      </b:Author>
    </b:Author>
    <b:RefOrder>43</b:RefOrder>
  </b:Source>
  <b:Source>
    <b:Tag>Kon04</b:Tag>
    <b:SourceType>JournalArticle</b:SourceType>
    <b:Guid>{8C15BC78-666A-3A4C-A260-20FECE0B037F}</b:Guid>
    <b:Title>The code-switching among trilingual Montrealers: French, English, and a heritage language</b:Title>
    <b:JournalName>Journal of the National Council of Less Commonly Taught Languages</b:JournalName>
    <b:Year>2004</b:Year>
    <b:Volume>1</b:Volume>
    <b:Pages>19-67</b:Pages>
    <b:Author>
      <b:Author>
        <b:NameList>
          <b:Person>
            <b:Last>Konidaris</b:Last>
            <b:First>E.</b:First>
          </b:Person>
        </b:NameList>
      </b:Author>
    </b:Author>
    <b:RefOrder>44</b:RefOrder>
  </b:Source>
  <b:Source>
    <b:Tag>Bau82</b:Tag>
    <b:SourceType>JournalArticle</b:SourceType>
    <b:Guid>{C70683E7-E644-7E4E-A8BA-9BBA27F71F44}</b:Guid>
    <b:Title>Yaya English</b:Title>
    <b:JournalName>Philippine Studies</b:JournalName>
    <b:Year>1982</b:Year>
    <b:Volume>30</b:Volume>
    <b:Issue>3</b:Issue>
    <b:Pages>377-394</b:Pages>
    <b:Author>
      <b:Author>
        <b:NameList>
          <b:Person>
            <b:Last>Bautista</b:Last>
            <b:First>M.L.</b:First>
          </b:Person>
        </b:NameList>
      </b:Author>
    </b:Author>
    <b:RefOrder>45</b:RefOrder>
  </b:Source>
  <b:Source>
    <b:Tag>Pao96</b:Tag>
    <b:SourceType>JournalArticle</b:SourceType>
    <b:Guid>{90865EDB-D546-5C41-BA4C-835FC79308C8}</b:Guid>
    <b:Title>Language choice on soc.culture.punjab</b:Title>
    <b:Year>1996</b:Year>
    <b:Volume>6</b:Volume>
    <b:JournalName>Electric Journal of Communication</b:JournalName>
    <b:Issue>3</b:Issue>
    <b:Author>
      <b:Author>
        <b:NameList>
          <b:Person>
            <b:Last>Paolillo</b:Last>
            <b:First>J. C.</b:First>
          </b:Person>
        </b:NameList>
      </b:Author>
    </b:Author>
    <b:RefOrder>46</b:RefOrder>
  </b:Source>
  <b:Source>
    <b:Tag>Spe05</b:Tag>
    <b:SourceType>JournalArticle</b:SourceType>
    <b:Guid>{134BE7D8-E72F-4B4E-AFDE-B594E5BFDF73}</b:Guid>
    <b:Title>Will cyberforums save endangered languges? A Niuean case study</b:Title>
    <b:JournalName>International Journal of the Sociology of Language</b:JournalName>
    <b:Year>2005</b:Year>
    <b:Volume>172</b:Volume>
    <b:Pages>51-77</b:Pages>
    <b:Author>
      <b:Author>
        <b:NameList>
          <b:Person>
            <b:Last>Sperlich</b:Last>
            <b:First>W. B.</b:First>
          </b:Person>
        </b:NameList>
      </b:Author>
    </b:Author>
    <b:RefOrder>47</b:RefOrder>
  </b:Source>
</b:Sources>
</file>

<file path=customXml/itemProps1.xml><?xml version="1.0" encoding="utf-8"?>
<ds:datastoreItem xmlns:ds="http://schemas.openxmlformats.org/officeDocument/2006/customXml" ds:itemID="{A297DEDA-D5ED-CD4A-97C0-E86F1817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Philippine Journal of Linguistics 47 (2016)   29 -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Journal of Linguistics 47 (2016)   29 - </dc:title>
  <dc:subject/>
  <dc:creator>mdolopez</dc:creator>
  <cp:keywords/>
  <dc:description/>
  <cp:lastModifiedBy>Wilkinson Gonzales</cp:lastModifiedBy>
  <cp:revision>5</cp:revision>
  <cp:lastPrinted>2017-01-04T08:57:00Z</cp:lastPrinted>
  <dcterms:created xsi:type="dcterms:W3CDTF">2018-01-17T12:18:00Z</dcterms:created>
  <dcterms:modified xsi:type="dcterms:W3CDTF">2020-05-19T05:08:00Z</dcterms:modified>
</cp:coreProperties>
</file>